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724" w:rsidRPr="00520EDC" w:rsidRDefault="002E6724" w:rsidP="002E6724">
      <w:pPr>
        <w:pStyle w:val="Frontpagetext-Customername"/>
        <w:rPr>
          <w:rFonts w:ascii="AU Passata" w:hAnsi="AU Passata"/>
          <w:color w:val="auto"/>
          <w:lang w:val="en-US"/>
        </w:rPr>
      </w:pPr>
    </w:p>
    <w:p w:rsidR="002E6724" w:rsidRDefault="002E6724" w:rsidP="002E6724">
      <w:pPr>
        <w:pStyle w:val="Frontpagetext-Projectname"/>
        <w:rPr>
          <w:rFonts w:ascii="AU Passata" w:hAnsi="AU Passata"/>
          <w:color w:val="auto"/>
        </w:rPr>
      </w:pPr>
      <w:r>
        <w:rPr>
          <w:rFonts w:ascii="AU Passata" w:hAnsi="AU Passata"/>
          <w:color w:val="auto"/>
        </w:rPr>
        <w:t xml:space="preserve">Beskrivelse af koncept for opbevaring af databaser fra udfaset system i </w:t>
      </w:r>
      <w:proofErr w:type="spellStart"/>
      <w:r>
        <w:rPr>
          <w:rFonts w:ascii="AU Passata" w:hAnsi="AU Passata"/>
          <w:color w:val="auto"/>
        </w:rPr>
        <w:t>AUs</w:t>
      </w:r>
      <w:proofErr w:type="spellEnd"/>
      <w:r>
        <w:rPr>
          <w:rFonts w:ascii="AU Passata" w:hAnsi="AU Passata"/>
          <w:color w:val="auto"/>
        </w:rPr>
        <w:t xml:space="preserve"> Oracle databaseløsning</w:t>
      </w:r>
    </w:p>
    <w:p w:rsidR="002E6724" w:rsidRDefault="002E6724" w:rsidP="002E6724">
      <w:pPr>
        <w:rPr>
          <w:noProof/>
          <w:lang w:eastAsia="da-DK"/>
        </w:rPr>
      </w:pPr>
    </w:p>
    <w:p w:rsidR="002E6724" w:rsidRDefault="002E6724" w:rsidP="002E6724">
      <w:r>
        <w:rPr>
          <w:noProof/>
          <w:lang w:eastAsia="da-DK"/>
        </w:rPr>
        <w:drawing>
          <wp:inline distT="0" distB="0" distL="0" distR="0" wp14:anchorId="6BF1BA41" wp14:editId="33834CAB">
            <wp:extent cx="5076825" cy="2313490"/>
            <wp:effectExtent l="0" t="0" r="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kivdiagoracl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3360" cy="231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6724" w:rsidRDefault="002E6724" w:rsidP="002E6724"/>
    <w:p w:rsidR="00C4490F" w:rsidRDefault="00C4490F" w:rsidP="00C4490F">
      <w:r>
        <w:t>Ved udfasning af et system, baseret på Oracle, kan der være data, som vurderes at være bevaringsværdige i en periode, og som fortsat skal kunne findes på en Oracle platform. For at fremtidssikre dataopbevaringen, gøres denne applikationsuafhængig, således at server og database kan opdateres løbende i den periode data opbevares.</w:t>
      </w:r>
    </w:p>
    <w:p w:rsidR="00C4490F" w:rsidRDefault="00C4490F" w:rsidP="00C4490F">
      <w:r>
        <w:t>Den oprindelige applikation flyttes ikke med og der er alene tale om bevarelse af data, hvortil der sikres ’</w:t>
      </w:r>
      <w:proofErr w:type="spellStart"/>
      <w:r>
        <w:t>read-only</w:t>
      </w:r>
      <w:proofErr w:type="spellEnd"/>
      <w:r>
        <w:t>’ adgang.</w:t>
      </w:r>
    </w:p>
    <w:p w:rsidR="00C4490F" w:rsidRDefault="00C4490F" w:rsidP="00C4490F">
      <w:r>
        <w:t xml:space="preserve">Overførsel til Oracle dataopbevaring kan ske enten ved at udtrække relevante tabeller eller overføre hele databasen til arkivdatabasen. </w:t>
      </w:r>
    </w:p>
    <w:p w:rsidR="00C4490F" w:rsidRDefault="00C4490F" w:rsidP="00C4490F">
      <w:r>
        <w:t>Dataopbevaringen etableres enten som et skema i en eksisterende database eller som en ny instans ved siden af de øvrige databaser, i opbevaringsløsningen.</w:t>
      </w:r>
    </w:p>
    <w:p w:rsidR="00C4490F" w:rsidRDefault="00C4490F" w:rsidP="00C4490F">
      <w:r>
        <w:t>Den oprindelige database nedlægges efter tilendebragt overførsel til Oracle dataopbevaring, og der er indgået dataopbevaringsaftale mellem dataejer og systemejer for Oracle dataopbevaring.</w:t>
      </w:r>
    </w:p>
    <w:p w:rsidR="00C4490F" w:rsidRDefault="00C4490F" w:rsidP="00C4490F">
      <w:r>
        <w:t xml:space="preserve">Der tages backup af datasættet ved etablering og i forbindelse med </w:t>
      </w:r>
      <w:r w:rsidR="00093960">
        <w:t xml:space="preserve">løbende </w:t>
      </w:r>
      <w:r>
        <w:t>opdatering</w:t>
      </w:r>
      <w:r w:rsidR="00093960">
        <w:t>er</w:t>
      </w:r>
      <w:r>
        <w:t xml:space="preserve"> </w:t>
      </w:r>
      <w:r w:rsidR="00093960">
        <w:t xml:space="preserve">af Oracle </w:t>
      </w:r>
      <w:r>
        <w:t>platformen.</w:t>
      </w:r>
    </w:p>
    <w:p w:rsidR="002E6724" w:rsidRDefault="00C4490F" w:rsidP="002E6724">
      <w:r>
        <w:t>Hvis den aftale</w:t>
      </w:r>
      <w:r w:rsidR="0061266B">
        <w:t xml:space="preserve"> opbevaringsperiode er lang, således at den overstiger den kendte levetid for den valgte platformsløsning, generes </w:t>
      </w:r>
      <w:r w:rsidR="002E6724">
        <w:t>en Oracle datapump fil (</w:t>
      </w:r>
      <w:proofErr w:type="spellStart"/>
      <w:r w:rsidR="002E6724">
        <w:t>export</w:t>
      </w:r>
      <w:proofErr w:type="spellEnd"/>
      <w:r w:rsidR="002E6724">
        <w:t xml:space="preserve"> fil), samt tilhørende logfil, som sikkerhedskopi. Denne arkiveres på </w:t>
      </w:r>
      <w:proofErr w:type="spellStart"/>
      <w:r w:rsidR="002E6724">
        <w:t>Qstar</w:t>
      </w:r>
      <w:proofErr w:type="spellEnd"/>
      <w:r w:rsidR="002E6724">
        <w:t xml:space="preserve"> (Filopbevaring) i en periode tilsvarende den aftale der indgås for databasens opbevaringsperiode.</w:t>
      </w:r>
    </w:p>
    <w:p w:rsidR="002E6724" w:rsidRDefault="002E6724" w:rsidP="002E6724">
      <w:r>
        <w:t xml:space="preserve">Der etableres læseadgang for navngivne brugere via Citrix for det givne datasæt/database, da Oracle dataopbevaring ikke er offentligt tilgængelig via netværket. Data kan </w:t>
      </w:r>
      <w:r w:rsidR="00093960">
        <w:t xml:space="preserve">efter aftale </w:t>
      </w:r>
      <w:r>
        <w:t>tilgås og analyseres via:</w:t>
      </w:r>
    </w:p>
    <w:p w:rsidR="002E6724" w:rsidRDefault="002E6724" w:rsidP="002E6724">
      <w:pPr>
        <w:pStyle w:val="Opstilling-punkttegn"/>
      </w:pPr>
      <w:r>
        <w:t>Oracle værktøjer: S</w:t>
      </w:r>
      <w:r w:rsidR="005D02F9">
        <w:t>QL*P</w:t>
      </w:r>
      <w:r>
        <w:t xml:space="preserve">lus, </w:t>
      </w:r>
      <w:r w:rsidR="005D02F9">
        <w:t>SQL D</w:t>
      </w:r>
      <w:r>
        <w:t xml:space="preserve">eveloper og </w:t>
      </w:r>
      <w:proofErr w:type="spellStart"/>
      <w:r w:rsidR="005D02F9">
        <w:t>JD</w:t>
      </w:r>
      <w:r>
        <w:t>eveloper</w:t>
      </w:r>
      <w:proofErr w:type="spellEnd"/>
    </w:p>
    <w:p w:rsidR="002E6724" w:rsidRDefault="002E6724" w:rsidP="002E6724">
      <w:pPr>
        <w:pStyle w:val="Opstilling-punkttegn"/>
      </w:pPr>
      <w:r>
        <w:t xml:space="preserve">MS </w:t>
      </w:r>
      <w:r w:rsidR="003877AF">
        <w:t>A</w:t>
      </w:r>
      <w:r>
        <w:t>ccess/</w:t>
      </w:r>
      <w:r w:rsidR="003877AF">
        <w:t>E</w:t>
      </w:r>
      <w:r>
        <w:t>xcel</w:t>
      </w:r>
    </w:p>
    <w:p w:rsidR="002E6724" w:rsidRDefault="002E6724" w:rsidP="002E6724">
      <w:pPr>
        <w:pStyle w:val="Opstilling-punkttegn"/>
        <w:numPr>
          <w:ilvl w:val="0"/>
          <w:numId w:val="0"/>
        </w:numPr>
        <w:ind w:left="360" w:hanging="360"/>
      </w:pPr>
    </w:p>
    <w:p w:rsidR="002E6724" w:rsidRDefault="002E6724" w:rsidP="00093960">
      <w:pPr>
        <w:pStyle w:val="Opstilling-punkttegn"/>
      </w:pPr>
      <w:r>
        <w:t>Hvis der er behov for ensartede udtræk på tværs af tabeller</w:t>
      </w:r>
      <w:r w:rsidR="005D02F9">
        <w:t>,</w:t>
      </w:r>
      <w:r>
        <w:t xml:space="preserve"> til understøttelse af en blivende funktionalitet</w:t>
      </w:r>
      <w:r w:rsidR="005D02F9">
        <w:t>,</w:t>
      </w:r>
      <w:r>
        <w:t xml:space="preserve"> kan der aftales etablering af en simpel GUI, hvor tab</w:t>
      </w:r>
      <w:r w:rsidR="005D02F9">
        <w:t>el</w:t>
      </w:r>
      <w:r>
        <w:t>data stilles til rådighed på en let overskuelig måde for brugere, som ikke har kendskab til de mere tekniske værktøjer.</w:t>
      </w:r>
    </w:p>
    <w:p w:rsidR="002E6724" w:rsidRDefault="002E6724" w:rsidP="002E6724">
      <w:pPr>
        <w:pStyle w:val="Opstilling-punkttegn"/>
        <w:numPr>
          <w:ilvl w:val="0"/>
          <w:numId w:val="0"/>
        </w:numPr>
      </w:pPr>
    </w:p>
    <w:p w:rsidR="002E6724" w:rsidRDefault="002E6724" w:rsidP="002E6724">
      <w:pPr>
        <w:pStyle w:val="Opstilling-punkttegn"/>
        <w:numPr>
          <w:ilvl w:val="0"/>
          <w:numId w:val="0"/>
        </w:numPr>
      </w:pPr>
      <w:r>
        <w:t>Der indgås en aftale med AU IT om dataopbevaringen:</w:t>
      </w:r>
    </w:p>
    <w:p w:rsidR="002E6724" w:rsidRDefault="002E6724" w:rsidP="002E6724">
      <w:pPr>
        <w:pStyle w:val="Opstilling-punkttegn"/>
        <w:numPr>
          <w:ilvl w:val="0"/>
          <w:numId w:val="0"/>
        </w:numPr>
      </w:pPr>
    </w:p>
    <w:p w:rsidR="002E6724" w:rsidRDefault="002E6724" w:rsidP="002E6724">
      <w:pPr>
        <w:rPr>
          <w:b/>
        </w:rPr>
      </w:pPr>
      <w:r>
        <w:rPr>
          <w:b/>
        </w:rPr>
        <w:t>Systemejers opgaver:</w:t>
      </w:r>
    </w:p>
    <w:p w:rsidR="002E6724" w:rsidRDefault="002E6724" w:rsidP="002E6724">
      <w:pPr>
        <w:pStyle w:val="Opstilling-punkttegn"/>
      </w:pPr>
      <w:r>
        <w:t>Udpeger tabeller i kildesystem, der skal indgå i datasæt til opbevaring</w:t>
      </w:r>
    </w:p>
    <w:p w:rsidR="002E6724" w:rsidRDefault="002E6724" w:rsidP="002E6724">
      <w:pPr>
        <w:pStyle w:val="Opstilling-punkttegn"/>
      </w:pPr>
      <w:r>
        <w:t>Fastlægger startdato for opbevaring</w:t>
      </w:r>
    </w:p>
    <w:p w:rsidR="002E6724" w:rsidRDefault="002E6724" w:rsidP="002E6724">
      <w:pPr>
        <w:pStyle w:val="Opstilling-punkttegn"/>
      </w:pPr>
      <w:r>
        <w:t>Fastlægger slutdato for opbevaring</w:t>
      </w:r>
    </w:p>
    <w:p w:rsidR="002E6724" w:rsidRDefault="002E6724" w:rsidP="002E6724">
      <w:pPr>
        <w:pStyle w:val="Opstilling-punkttegn"/>
      </w:pPr>
      <w:r>
        <w:t xml:space="preserve">Fastlægger hvilke brugere, der skal have adgang til datasættets </w:t>
      </w:r>
      <w:proofErr w:type="spellStart"/>
      <w:r>
        <w:t>rådata</w:t>
      </w:r>
      <w:proofErr w:type="spellEnd"/>
    </w:p>
    <w:p w:rsidR="002E6724" w:rsidRDefault="002E6724" w:rsidP="002E6724">
      <w:pPr>
        <w:pStyle w:val="Opstilling-punkttegn"/>
      </w:pPr>
      <w:r>
        <w:t>Afklaring af hvilke værktøjer der skal anvendes i tilgang til data</w:t>
      </w:r>
    </w:p>
    <w:p w:rsidR="002E6724" w:rsidRDefault="002E6724" w:rsidP="002E6724">
      <w:pPr>
        <w:pStyle w:val="Opstilling-punkttegn"/>
      </w:pPr>
      <w:r>
        <w:t>Dokumentation af det opbevarede datasæt</w:t>
      </w:r>
      <w:r w:rsidR="004F1924">
        <w:t>, herunder metadata for de arkiverede data</w:t>
      </w:r>
    </w:p>
    <w:p w:rsidR="002E6724" w:rsidRDefault="002E6724" w:rsidP="002E6724">
      <w:pPr>
        <w:pStyle w:val="Opstilling-punkttegn"/>
      </w:pPr>
      <w:r>
        <w:t xml:space="preserve">Indgår aftale om opbevaring med </w:t>
      </w:r>
      <w:r w:rsidR="005D02F9">
        <w:t xml:space="preserve">AU IT - </w:t>
      </w:r>
      <w:r>
        <w:t>Administrative Applikationer</w:t>
      </w:r>
    </w:p>
    <w:p w:rsidR="004F1924" w:rsidRDefault="004F1924" w:rsidP="002E6724">
      <w:pPr>
        <w:pStyle w:val="Opstilling-punkttegn"/>
      </w:pPr>
      <w:r>
        <w:t>Test og sikring af at de overførte data er korrekte i forhold til kildedata</w:t>
      </w:r>
    </w:p>
    <w:p w:rsidR="002E6724" w:rsidRDefault="002E6724" w:rsidP="002E6724">
      <w:pPr>
        <w:pStyle w:val="Opstilling-punkttegn"/>
      </w:pPr>
      <w:r>
        <w:t>Forretningsmæssig viden til forståelse af kildedata i nødvendigt omfang</w:t>
      </w:r>
    </w:p>
    <w:p w:rsidR="002E6724" w:rsidRDefault="002E6724" w:rsidP="002E6724">
      <w:pPr>
        <w:pStyle w:val="Opstilling-punkttegn"/>
        <w:numPr>
          <w:ilvl w:val="0"/>
          <w:numId w:val="0"/>
        </w:numPr>
      </w:pPr>
    </w:p>
    <w:p w:rsidR="002E6724" w:rsidRDefault="002E6724" w:rsidP="002E6724">
      <w:pPr>
        <w:pStyle w:val="Opstilling-punkttegn"/>
        <w:numPr>
          <w:ilvl w:val="0"/>
          <w:numId w:val="0"/>
        </w:numPr>
        <w:ind w:left="360" w:hanging="360"/>
        <w:rPr>
          <w:b/>
        </w:rPr>
      </w:pPr>
      <w:proofErr w:type="spellStart"/>
      <w:r>
        <w:rPr>
          <w:b/>
        </w:rPr>
        <w:t>ITs</w:t>
      </w:r>
      <w:proofErr w:type="spellEnd"/>
      <w:r>
        <w:rPr>
          <w:b/>
        </w:rPr>
        <w:t xml:space="preserve"> opgaver:</w:t>
      </w:r>
    </w:p>
    <w:p w:rsidR="002E6724" w:rsidRDefault="002E6724" w:rsidP="002E6724">
      <w:pPr>
        <w:pStyle w:val="Opstilling-punkttegn"/>
      </w:pPr>
      <w:r>
        <w:t>Vurderer om databasen/tabellerne skal implementeres som</w:t>
      </w:r>
      <w:r w:rsidR="005D02F9">
        <w:t>:</w:t>
      </w:r>
    </w:p>
    <w:p w:rsidR="002E6724" w:rsidRDefault="002E6724" w:rsidP="002E6724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Data i </w:t>
      </w:r>
      <w:proofErr w:type="gramStart"/>
      <w:r>
        <w:t>en</w:t>
      </w:r>
      <w:proofErr w:type="gramEnd"/>
      <w:r>
        <w:t xml:space="preserve"> eksisterende arkiv database instans og skema</w:t>
      </w:r>
    </w:p>
    <w:p w:rsidR="002E6724" w:rsidRDefault="002E6724" w:rsidP="002E6724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Data i </w:t>
      </w:r>
      <w:proofErr w:type="gramStart"/>
      <w:r>
        <w:t>en</w:t>
      </w:r>
      <w:proofErr w:type="gramEnd"/>
      <w:r>
        <w:t xml:space="preserve"> eksisterende arkiv database instans men i eget skema</w:t>
      </w:r>
    </w:p>
    <w:p w:rsidR="002E6724" w:rsidRDefault="002E6724" w:rsidP="002E6724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Data i </w:t>
      </w:r>
      <w:proofErr w:type="gramStart"/>
      <w:r>
        <w:t>en</w:t>
      </w:r>
      <w:proofErr w:type="gramEnd"/>
      <w:r>
        <w:t xml:space="preserve"> ny arkiv database instans</w:t>
      </w:r>
    </w:p>
    <w:p w:rsidR="002E6724" w:rsidRDefault="002E6724" w:rsidP="002E6724">
      <w:pPr>
        <w:pStyle w:val="Opstilling-punkttegn"/>
      </w:pPr>
      <w:r>
        <w:t>Udarbejder opbevaringsaftale med systemejer</w:t>
      </w:r>
    </w:p>
    <w:p w:rsidR="002E6724" w:rsidRDefault="002E6724" w:rsidP="002E6724">
      <w:pPr>
        <w:pStyle w:val="Opstilling-punkttegn"/>
      </w:pPr>
      <w:r>
        <w:t>Overfører data til opbevaring i Oracle databaseløsning</w:t>
      </w:r>
    </w:p>
    <w:p w:rsidR="00093960" w:rsidRDefault="002E6724" w:rsidP="002E6724">
      <w:pPr>
        <w:pStyle w:val="Opstilling-punkttegn"/>
      </w:pPr>
      <w:r>
        <w:t>Sikrer backup m. log</w:t>
      </w:r>
      <w:r w:rsidR="002905AF">
        <w:t xml:space="preserve"> af det bevaringsværdige data</w:t>
      </w:r>
      <w:r w:rsidR="00713A59">
        <w:t xml:space="preserve">. </w:t>
      </w:r>
    </w:p>
    <w:p w:rsidR="002E6724" w:rsidRDefault="00093960" w:rsidP="00093960">
      <w:pPr>
        <w:pStyle w:val="Opstilling-punkttegn"/>
        <w:tabs>
          <w:tab w:val="clear" w:pos="360"/>
          <w:tab w:val="num" w:pos="720"/>
        </w:tabs>
        <w:ind w:left="720"/>
      </w:pPr>
      <w:r>
        <w:t xml:space="preserve">Hvis der er tale om lang levetid arkiveres tillige datafil og log </w:t>
      </w:r>
      <w:r w:rsidR="002E6724">
        <w:t xml:space="preserve">i </w:t>
      </w:r>
      <w:proofErr w:type="spellStart"/>
      <w:r w:rsidR="002E6724">
        <w:t>Qstar</w:t>
      </w:r>
      <w:proofErr w:type="spellEnd"/>
    </w:p>
    <w:p w:rsidR="002E6724" w:rsidRDefault="002E6724" w:rsidP="002E6724">
      <w:pPr>
        <w:pStyle w:val="Opstilling-punkttegn"/>
      </w:pPr>
      <w:r>
        <w:t>Opsætter rettigheder til kildedata</w:t>
      </w:r>
    </w:p>
    <w:p w:rsidR="002E6724" w:rsidRDefault="002E6724" w:rsidP="002E6724">
      <w:pPr>
        <w:pStyle w:val="Opstilling-punkttegn"/>
      </w:pPr>
      <w:r>
        <w:t>Opretter Citrix klienter til arkivdatabasens brugere (in</w:t>
      </w:r>
      <w:r w:rsidR="002905AF">
        <w:t>k</w:t>
      </w:r>
      <w:r>
        <w:t>l. valgte værktøjer)</w:t>
      </w:r>
    </w:p>
    <w:p w:rsidR="002E6724" w:rsidRDefault="002E6724" w:rsidP="002E6724">
      <w:pPr>
        <w:rPr>
          <w:b/>
        </w:rPr>
      </w:pPr>
    </w:p>
    <w:p w:rsidR="002E6724" w:rsidRDefault="002E6724" w:rsidP="002E6724">
      <w:pPr>
        <w:rPr>
          <w:b/>
        </w:rPr>
      </w:pPr>
    </w:p>
    <w:p w:rsidR="002E6724" w:rsidRDefault="002E6724">
      <w:pPr>
        <w:spacing w:after="200" w:line="276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2E6724" w:rsidRPr="002E6724" w:rsidRDefault="002E6724" w:rsidP="002E6724">
      <w:pPr>
        <w:rPr>
          <w:b/>
          <w:sz w:val="28"/>
        </w:rPr>
      </w:pPr>
      <w:r>
        <w:rPr>
          <w:b/>
          <w:sz w:val="28"/>
        </w:rPr>
        <w:t>Hvis der er udfordringer med afklaring af data:</w:t>
      </w:r>
    </w:p>
    <w:p w:rsidR="002E6724" w:rsidRPr="004344C8" w:rsidRDefault="002E6724" w:rsidP="002E6724">
      <w:pPr>
        <w:rPr>
          <w:b/>
        </w:rPr>
      </w:pPr>
      <w:proofErr w:type="gramStart"/>
      <w:r w:rsidRPr="004344C8">
        <w:rPr>
          <w:b/>
        </w:rPr>
        <w:t>Systemejerens  analyse</w:t>
      </w:r>
      <w:proofErr w:type="gramEnd"/>
    </w:p>
    <w:p w:rsidR="002E6724" w:rsidRDefault="002E6724" w:rsidP="002E6724">
      <w:pPr>
        <w:pStyle w:val="Opstilling-punkttegn"/>
      </w:pPr>
      <w:r>
        <w:t>System ejer finder ud af hvilke data der ønskes bevaret.</w:t>
      </w:r>
    </w:p>
    <w:p w:rsidR="002E6724" w:rsidRDefault="002E6724" w:rsidP="002E6724">
      <w:pPr>
        <w:pStyle w:val="Opstilling-punkttegn"/>
      </w:pPr>
      <w:r>
        <w:t>Data beskrives ved hjælp af systemets skærmbilleder, manuelle rutiner og evt. batch kørsler.</w:t>
      </w:r>
    </w:p>
    <w:p w:rsidR="002E6724" w:rsidRDefault="002E6724" w:rsidP="002E6724">
      <w:pPr>
        <w:pStyle w:val="Opstilling-punkttegn"/>
      </w:pPr>
      <w:r>
        <w:t>Brugere der skal have tilgang til arkiverede data beskrives (kompetencer og organisatorisk tilhørsforhold)</w:t>
      </w:r>
    </w:p>
    <w:p w:rsidR="002E6724" w:rsidRDefault="002E6724" w:rsidP="002E6724">
      <w:pPr>
        <w:pStyle w:val="Opstilling-punkttegn"/>
      </w:pPr>
      <w:r>
        <w:t xml:space="preserve">Relaterede data i andre systemer der skal indgå i arkiveringen beskrives.  </w:t>
      </w:r>
    </w:p>
    <w:p w:rsidR="002E6724" w:rsidRDefault="002E6724" w:rsidP="002E6724"/>
    <w:p w:rsidR="002E6724" w:rsidRPr="004344C8" w:rsidRDefault="002E6724" w:rsidP="002E6724">
      <w:pPr>
        <w:rPr>
          <w:b/>
        </w:rPr>
      </w:pPr>
      <w:r>
        <w:rPr>
          <w:b/>
        </w:rPr>
        <w:t>Teknisk</w:t>
      </w:r>
      <w:r w:rsidRPr="004344C8">
        <w:rPr>
          <w:b/>
        </w:rPr>
        <w:t xml:space="preserve"> analyse</w:t>
      </w:r>
    </w:p>
    <w:p w:rsidR="002E6724" w:rsidRDefault="002E6724" w:rsidP="002E6724">
      <w:r>
        <w:t>På grundlag af systemejerens analyse, som jo er en brugervendt analyse, udarbejdes en teknisk analyse, der fastslår hvordan de ønskede brugervendte data er repræsenteret i databasen. Simple data på et skærmbillede kan bygge på komplicerede datastrukturer og relationer mellem tabeller.</w:t>
      </w:r>
    </w:p>
    <w:p w:rsidR="002E6724" w:rsidRDefault="002E6724" w:rsidP="002E6724">
      <w:r>
        <w:t xml:space="preserve">Hvis der ikke i systemejers organisation findes kompetence/indsigt til at gennemføre den tekniske analyse, skal systemejer afklare med AU IT </w:t>
      </w:r>
      <w:proofErr w:type="spellStart"/>
      <w:r>
        <w:t>Oraclegruppen</w:t>
      </w:r>
      <w:proofErr w:type="spellEnd"/>
      <w:r>
        <w:t xml:space="preserve"> om</w:t>
      </w:r>
      <w:r w:rsidR="00713A59">
        <w:t>,</w:t>
      </w:r>
      <w:r>
        <w:t xml:space="preserve"> analysen kan løses i samarbejde med denne, eller om der skal indhentes eksterne ressourcer.</w:t>
      </w:r>
    </w:p>
    <w:p w:rsidR="002E6724" w:rsidRDefault="002E6724" w:rsidP="002E6724"/>
    <w:p w:rsidR="002E6724" w:rsidRPr="007D4680" w:rsidRDefault="002E6724" w:rsidP="002E6724">
      <w:pPr>
        <w:rPr>
          <w:b/>
        </w:rPr>
      </w:pPr>
      <w:r w:rsidRPr="007D4680">
        <w:rPr>
          <w:b/>
        </w:rPr>
        <w:t>Resultatet af analysen skal pege på en af følgende løsninger:</w:t>
      </w:r>
    </w:p>
    <w:p w:rsidR="002E6724" w:rsidRDefault="002E6724" w:rsidP="002E6724">
      <w:pPr>
        <w:pStyle w:val="Opstilling-punkttegn"/>
      </w:pPr>
      <w:r>
        <w:t>Der er ikke behov for egentlig tilgang til data. En backup in</w:t>
      </w:r>
      <w:r w:rsidR="00713A59">
        <w:t>k</w:t>
      </w:r>
      <w:r>
        <w:t xml:space="preserve">l. log arkiveres i </w:t>
      </w:r>
      <w:proofErr w:type="spellStart"/>
      <w:r>
        <w:t>Qstar</w:t>
      </w:r>
      <w:proofErr w:type="spellEnd"/>
    </w:p>
    <w:p w:rsidR="002E6724" w:rsidRDefault="002E6724" w:rsidP="002E6724">
      <w:pPr>
        <w:pStyle w:val="Opstilling-punkttegn"/>
      </w:pPr>
      <w:r>
        <w:t>Data er begrænsede og simple som egner sig til et udtræk til filer</w:t>
      </w:r>
      <w:proofErr w:type="gramStart"/>
      <w:r w:rsidR="00713A59">
        <w:t>,,</w:t>
      </w:r>
      <w:proofErr w:type="gramEnd"/>
      <w:r>
        <w:t xml:space="preserve"> der arkiveres i </w:t>
      </w:r>
      <w:proofErr w:type="spellStart"/>
      <w:r>
        <w:t>Qstar</w:t>
      </w:r>
      <w:proofErr w:type="spellEnd"/>
    </w:p>
    <w:p w:rsidR="002E6724" w:rsidRDefault="002E6724" w:rsidP="002E6724">
      <w:pPr>
        <w:pStyle w:val="Opstilling-punkttegn"/>
      </w:pPr>
      <w:r>
        <w:t>Data er komplekse men begrænsede og egner sig til udtræk af tabeller til en arkivdatabase</w:t>
      </w:r>
    </w:p>
    <w:p w:rsidR="002E6724" w:rsidRDefault="002E6724" w:rsidP="002E6724">
      <w:pPr>
        <w:pStyle w:val="Opstilling-punkttegn"/>
      </w:pPr>
      <w:r>
        <w:t>Der er mange data som egner sig til en arkivering af hele databasen</w:t>
      </w:r>
    </w:p>
    <w:p w:rsidR="002E6724" w:rsidRDefault="002E6724" w:rsidP="002E6724"/>
    <w:p w:rsidR="002E6724" w:rsidRDefault="002E6724" w:rsidP="002E6724">
      <w:pPr>
        <w:pStyle w:val="Opstilling-punkttegn"/>
        <w:numPr>
          <w:ilvl w:val="0"/>
          <w:numId w:val="0"/>
        </w:numPr>
        <w:ind w:left="360" w:hanging="360"/>
      </w:pPr>
    </w:p>
    <w:p w:rsidR="002E6724" w:rsidRPr="00FC2F9A" w:rsidRDefault="002E6724" w:rsidP="002E6724">
      <w:pPr>
        <w:pStyle w:val="Opstilling-punkttegn"/>
        <w:numPr>
          <w:ilvl w:val="0"/>
          <w:numId w:val="0"/>
        </w:numPr>
        <w:ind w:left="360" w:hanging="360"/>
        <w:rPr>
          <w:b/>
        </w:rPr>
      </w:pPr>
    </w:p>
    <w:p w:rsidR="002E6724" w:rsidRDefault="002E6724" w:rsidP="002E6724"/>
    <w:p w:rsidR="002E6724" w:rsidRDefault="002E6724" w:rsidP="002E6724"/>
    <w:p w:rsidR="002E6724" w:rsidRDefault="002E6724" w:rsidP="002E6724">
      <w:r>
        <w:t xml:space="preserve"> </w:t>
      </w:r>
    </w:p>
    <w:p w:rsidR="002E6724" w:rsidRPr="00AC3121" w:rsidRDefault="002E6724" w:rsidP="002E6724"/>
    <w:p w:rsidR="00E34432" w:rsidRDefault="00C836CE"/>
    <w:sectPr w:rsidR="00E34432" w:rsidSect="00120BB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9" w:footer="33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3E598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6CE" w:rsidRDefault="00C836CE">
      <w:pPr>
        <w:spacing w:after="0"/>
      </w:pPr>
      <w:r>
        <w:separator/>
      </w:r>
    </w:p>
  </w:endnote>
  <w:endnote w:type="continuationSeparator" w:id="0">
    <w:p w:rsidR="00C836CE" w:rsidRDefault="00C836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 Peto">
    <w:altName w:val="MS Mincho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7" w:rsidRPr="00116195" w:rsidRDefault="002E6724" w:rsidP="00116195">
    <w:pPr>
      <w:pStyle w:val="Sidefod"/>
      <w:spacing w:after="0"/>
      <w:rPr>
        <w:lang w:val="en-US"/>
      </w:rPr>
    </w:pPr>
    <w:r>
      <w:rPr>
        <w:rFonts w:ascii="AU Passata" w:hAnsi="AU Passata"/>
        <w:sz w:val="16"/>
        <w:szCs w:val="16"/>
      </w:rPr>
      <w:t>24</w:t>
    </w:r>
    <w:r w:rsidRPr="00116195">
      <w:rPr>
        <w:rFonts w:ascii="AU Passata" w:hAnsi="AU Passata"/>
        <w:sz w:val="16"/>
        <w:szCs w:val="16"/>
      </w:rPr>
      <w:t>-</w:t>
    </w:r>
    <w:r>
      <w:rPr>
        <w:rFonts w:ascii="AU Passata" w:hAnsi="AU Passata"/>
        <w:sz w:val="16"/>
        <w:szCs w:val="16"/>
      </w:rPr>
      <w:t>06-2016</w:t>
    </w:r>
    <w:r w:rsidRPr="00116195">
      <w:rPr>
        <w:rFonts w:ascii="AU Passata" w:hAnsi="AU Passata"/>
        <w:sz w:val="16"/>
        <w:szCs w:val="16"/>
      </w:rP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2B14AB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78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195" w:rsidRDefault="002E6724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6195" w:rsidRDefault="00C836C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6CE" w:rsidRDefault="00C836CE">
      <w:pPr>
        <w:spacing w:after="0"/>
      </w:pPr>
      <w:r>
        <w:separator/>
      </w:r>
    </w:p>
  </w:footnote>
  <w:footnote w:type="continuationSeparator" w:id="0">
    <w:p w:rsidR="00C836CE" w:rsidRDefault="00C836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67" w:rsidRPr="002552CC" w:rsidRDefault="002E6724" w:rsidP="00ED2F40">
    <w:pPr>
      <w:pStyle w:val="Sidehoved"/>
      <w:rPr>
        <w:sz w:val="22"/>
      </w:rPr>
    </w:pPr>
    <w:r>
      <w:rPr>
        <w:noProof/>
        <w:sz w:val="22"/>
        <w:lang w:eastAsia="da-DK"/>
      </w:rPr>
      <w:drawing>
        <wp:inline distT="0" distB="0" distL="0" distR="0" wp14:anchorId="06F6EBFC" wp14:editId="49C7D5DF">
          <wp:extent cx="3206503" cy="48463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t-logo-t-003d8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81A" w:rsidRPr="00547695" w:rsidRDefault="002E6724" w:rsidP="00547695">
    <w:pPr>
      <w:pStyle w:val="Sidehoved"/>
      <w:tabs>
        <w:tab w:val="clear" w:pos="8306"/>
        <w:tab w:val="left" w:pos="7425"/>
      </w:tabs>
      <w:rPr>
        <w:rFonts w:ascii="AU Peto" w:hAnsi="AU Peto"/>
      </w:rPr>
    </w:pPr>
    <w:r>
      <w:rPr>
        <w:noProof/>
        <w:lang w:eastAsia="da-DK"/>
      </w:rPr>
      <w:drawing>
        <wp:inline distT="0" distB="0" distL="0" distR="0" wp14:anchorId="1264B61D" wp14:editId="3CAB31CE">
          <wp:extent cx="3209925" cy="485775"/>
          <wp:effectExtent l="0" t="0" r="0" b="0"/>
          <wp:docPr id="8" name="Billede 6" descr="C:\Users\admipnie\Downloads\alt-logo-t-003d8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pnie\Downloads\alt-logo-t-003d8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99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F8D2B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enrik Bylling Ravn">
    <w15:presenceInfo w15:providerId="AD" w15:userId="S-1-5-21-1647451481-3672502608-3803859085-745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24"/>
    <w:rsid w:val="00093960"/>
    <w:rsid w:val="00205D11"/>
    <w:rsid w:val="00234184"/>
    <w:rsid w:val="002905AF"/>
    <w:rsid w:val="002B14AB"/>
    <w:rsid w:val="002E6724"/>
    <w:rsid w:val="00354375"/>
    <w:rsid w:val="00375CC3"/>
    <w:rsid w:val="003877AF"/>
    <w:rsid w:val="003A22A5"/>
    <w:rsid w:val="0042036B"/>
    <w:rsid w:val="00425336"/>
    <w:rsid w:val="004F1924"/>
    <w:rsid w:val="005D02F9"/>
    <w:rsid w:val="0061266B"/>
    <w:rsid w:val="00617D19"/>
    <w:rsid w:val="00713A59"/>
    <w:rsid w:val="00897888"/>
    <w:rsid w:val="00953EA8"/>
    <w:rsid w:val="00C12CEA"/>
    <w:rsid w:val="00C4490F"/>
    <w:rsid w:val="00C73BEA"/>
    <w:rsid w:val="00C7528C"/>
    <w:rsid w:val="00C836CE"/>
    <w:rsid w:val="00E5350D"/>
    <w:rsid w:val="00EA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04E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4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E6724"/>
    <w:pPr>
      <w:tabs>
        <w:tab w:val="center" w:pos="4153"/>
        <w:tab w:val="decimal" w:pos="6545"/>
        <w:tab w:val="right" w:pos="6715"/>
        <w:tab w:val="right" w:pos="8306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E6724"/>
    <w:rPr>
      <w:rFonts w:ascii="Arial" w:eastAsia="Times New Roman" w:hAnsi="Arial" w:cs="Times New Roman"/>
      <w:sz w:val="18"/>
      <w:szCs w:val="20"/>
    </w:rPr>
  </w:style>
  <w:style w:type="paragraph" w:styleId="Sidehoved">
    <w:name w:val="header"/>
    <w:basedOn w:val="Normal"/>
    <w:link w:val="SidehovedTegn"/>
    <w:rsid w:val="002E6724"/>
    <w:pPr>
      <w:tabs>
        <w:tab w:val="center" w:pos="4153"/>
        <w:tab w:val="right" w:pos="8306"/>
      </w:tabs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rsid w:val="002E6724"/>
    <w:rPr>
      <w:rFonts w:ascii="Arial" w:eastAsia="Times New Roman" w:hAnsi="Arial" w:cs="Times New Roman"/>
      <w:sz w:val="20"/>
      <w:szCs w:val="20"/>
    </w:rPr>
  </w:style>
  <w:style w:type="paragraph" w:customStyle="1" w:styleId="Frontpagetext-Projectname">
    <w:name w:val="Frontpage text - Project name"/>
    <w:basedOn w:val="Normal"/>
    <w:next w:val="Normal"/>
    <w:rsid w:val="002E6724"/>
    <w:pPr>
      <w:spacing w:before="120" w:after="280"/>
    </w:pPr>
    <w:rPr>
      <w:color w:val="FFFFFF"/>
      <w:sz w:val="36"/>
    </w:rPr>
  </w:style>
  <w:style w:type="paragraph" w:customStyle="1" w:styleId="Frontpagetext-Customername">
    <w:name w:val="Frontpage text - Customer name"/>
    <w:basedOn w:val="Frontpagetext-Projectname"/>
    <w:next w:val="Frontpagetext-Projectname"/>
    <w:rsid w:val="002E6724"/>
    <w:pPr>
      <w:spacing w:after="0"/>
    </w:pPr>
    <w:rPr>
      <w:sz w:val="44"/>
    </w:rPr>
  </w:style>
  <w:style w:type="paragraph" w:styleId="Opstilling-punkttegn">
    <w:name w:val="List Bullet"/>
    <w:basedOn w:val="Normal"/>
    <w:uiPriority w:val="99"/>
    <w:unhideWhenUsed/>
    <w:rsid w:val="002E6724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724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724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8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8C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8C"/>
    <w:rPr>
      <w:rFonts w:ascii="Arial" w:eastAsia="Times New Roman" w:hAnsi="Arial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724"/>
    <w:pPr>
      <w:spacing w:after="120" w:line="240" w:lineRule="auto"/>
    </w:pPr>
    <w:rPr>
      <w:rFonts w:ascii="Arial" w:eastAsia="Times New Roman" w:hAnsi="Arial" w:cs="Times New Roman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2E6724"/>
    <w:pPr>
      <w:tabs>
        <w:tab w:val="center" w:pos="4153"/>
        <w:tab w:val="decimal" w:pos="6545"/>
        <w:tab w:val="right" w:pos="6715"/>
        <w:tab w:val="right" w:pos="8306"/>
      </w:tabs>
    </w:pPr>
    <w:rPr>
      <w:sz w:val="18"/>
    </w:rPr>
  </w:style>
  <w:style w:type="character" w:customStyle="1" w:styleId="SidefodTegn">
    <w:name w:val="Sidefod Tegn"/>
    <w:basedOn w:val="Standardskrifttypeiafsnit"/>
    <w:link w:val="Sidefod"/>
    <w:uiPriority w:val="99"/>
    <w:rsid w:val="002E6724"/>
    <w:rPr>
      <w:rFonts w:ascii="Arial" w:eastAsia="Times New Roman" w:hAnsi="Arial" w:cs="Times New Roman"/>
      <w:sz w:val="18"/>
      <w:szCs w:val="20"/>
    </w:rPr>
  </w:style>
  <w:style w:type="paragraph" w:styleId="Sidehoved">
    <w:name w:val="header"/>
    <w:basedOn w:val="Normal"/>
    <w:link w:val="SidehovedTegn"/>
    <w:rsid w:val="002E6724"/>
    <w:pPr>
      <w:tabs>
        <w:tab w:val="center" w:pos="4153"/>
        <w:tab w:val="right" w:pos="8306"/>
      </w:tabs>
    </w:pPr>
    <w:rPr>
      <w:sz w:val="20"/>
    </w:rPr>
  </w:style>
  <w:style w:type="character" w:customStyle="1" w:styleId="SidehovedTegn">
    <w:name w:val="Sidehoved Tegn"/>
    <w:basedOn w:val="Standardskrifttypeiafsnit"/>
    <w:link w:val="Sidehoved"/>
    <w:rsid w:val="002E6724"/>
    <w:rPr>
      <w:rFonts w:ascii="Arial" w:eastAsia="Times New Roman" w:hAnsi="Arial" w:cs="Times New Roman"/>
      <w:sz w:val="20"/>
      <w:szCs w:val="20"/>
    </w:rPr>
  </w:style>
  <w:style w:type="paragraph" w:customStyle="1" w:styleId="Frontpagetext-Projectname">
    <w:name w:val="Frontpage text - Project name"/>
    <w:basedOn w:val="Normal"/>
    <w:next w:val="Normal"/>
    <w:rsid w:val="002E6724"/>
    <w:pPr>
      <w:spacing w:before="120" w:after="280"/>
    </w:pPr>
    <w:rPr>
      <w:color w:val="FFFFFF"/>
      <w:sz w:val="36"/>
    </w:rPr>
  </w:style>
  <w:style w:type="paragraph" w:customStyle="1" w:styleId="Frontpagetext-Customername">
    <w:name w:val="Frontpage text - Customer name"/>
    <w:basedOn w:val="Frontpagetext-Projectname"/>
    <w:next w:val="Frontpagetext-Projectname"/>
    <w:rsid w:val="002E6724"/>
    <w:pPr>
      <w:spacing w:after="0"/>
    </w:pPr>
    <w:rPr>
      <w:sz w:val="44"/>
    </w:rPr>
  </w:style>
  <w:style w:type="paragraph" w:styleId="Opstilling-punkttegn">
    <w:name w:val="List Bullet"/>
    <w:basedOn w:val="Normal"/>
    <w:uiPriority w:val="99"/>
    <w:unhideWhenUsed/>
    <w:rsid w:val="002E6724"/>
    <w:pPr>
      <w:numPr>
        <w:numId w:val="1"/>
      </w:numPr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6724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6724"/>
    <w:rPr>
      <w:rFonts w:ascii="Tahoma" w:eastAsia="Times New Roman" w:hAnsi="Tahoma" w:cs="Tahoma"/>
      <w:sz w:val="16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752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7528C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7528C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752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7528C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 Egerod Leth</dc:creator>
  <cp:lastModifiedBy>Astrid Egerod Leth</cp:lastModifiedBy>
  <cp:revision>2</cp:revision>
  <dcterms:created xsi:type="dcterms:W3CDTF">2016-12-28T15:13:00Z</dcterms:created>
  <dcterms:modified xsi:type="dcterms:W3CDTF">2016-12-28T15:13:00Z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