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0F" w:rsidRPr="00B736A8" w:rsidRDefault="00083A0F" w:rsidP="00083A0F">
      <w:pPr>
        <w:spacing w:line="14" w:lineRule="exact"/>
      </w:pPr>
    </w:p>
    <w:p w:rsidR="00083A0F" w:rsidRPr="00B93F7F" w:rsidRDefault="00EB6F94" w:rsidP="00083A0F">
      <w:pPr>
        <w:pStyle w:val="Overskrift1"/>
        <w:rPr>
          <w:b/>
          <w:color w:val="auto"/>
        </w:rPr>
      </w:pPr>
      <w:r w:rsidRPr="00B93F7F">
        <w:rPr>
          <w:b/>
          <w:color w:val="auto"/>
        </w:rPr>
        <w:t>Vejledning om p</w:t>
      </w:r>
      <w:r w:rsidR="00EE7E9D" w:rsidRPr="00B93F7F">
        <w:rPr>
          <w:b/>
          <w:color w:val="auto"/>
        </w:rPr>
        <w:t>risfastsæt</w:t>
      </w:r>
      <w:r w:rsidRPr="00B93F7F">
        <w:rPr>
          <w:b/>
          <w:color w:val="auto"/>
        </w:rPr>
        <w:t xml:space="preserve">telse for </w:t>
      </w:r>
      <w:r w:rsidR="00416536" w:rsidRPr="00B93F7F">
        <w:rPr>
          <w:b/>
          <w:color w:val="auto"/>
        </w:rPr>
        <w:t>Indtægtsdækket Virksomhed</w:t>
      </w:r>
      <w:r w:rsidR="00F500ED" w:rsidRPr="00B93F7F">
        <w:rPr>
          <w:b/>
          <w:color w:val="auto"/>
        </w:rPr>
        <w:t xml:space="preserve"> (DR2)</w:t>
      </w:r>
    </w:p>
    <w:p w:rsidR="00750845" w:rsidRDefault="00B93F7F" w:rsidP="00B93F7F">
      <w:pPr>
        <w:tabs>
          <w:tab w:val="left" w:pos="3130"/>
        </w:tabs>
      </w:pPr>
      <w:r>
        <w:tab/>
      </w:r>
    </w:p>
    <w:p w:rsidR="004260A3" w:rsidRDefault="004260A3" w:rsidP="004260A3">
      <w:r w:rsidRPr="00750845">
        <w:t>De generelle regler for</w:t>
      </w:r>
      <w:r w:rsidR="00247078">
        <w:t>,</w:t>
      </w:r>
      <w:r w:rsidRPr="00750845">
        <w:t xml:space="preserve"> hvordan statslige institutio</w:t>
      </w:r>
      <w:r>
        <w:t>ner skal prisfastsætte deres va</w:t>
      </w:r>
      <w:r w:rsidRPr="00750845">
        <w:t xml:space="preserve">rer og ydelser, er beskrevet i budgetvejledningen. </w:t>
      </w:r>
      <w:r w:rsidR="002D69A4">
        <w:t>For den</w:t>
      </w:r>
      <w:r w:rsidR="00297A16">
        <w:t xml:space="preserve"> indtægtsdækkede </w:t>
      </w:r>
      <w:r w:rsidR="002D69A4">
        <w:t>aktivitet gælder følgende betingelser</w:t>
      </w:r>
      <w:r w:rsidR="00297A16">
        <w:t>,</w:t>
      </w:r>
      <w:r w:rsidR="002D69A4">
        <w:t xml:space="preserve"> når en vare eller serviceydelse skal prisfastsættes.: </w:t>
      </w:r>
    </w:p>
    <w:p w:rsidR="00F500ED" w:rsidRDefault="00F500ED" w:rsidP="004260A3"/>
    <w:p w:rsidR="002C7E0A" w:rsidRDefault="004260A3" w:rsidP="00EE2500">
      <w:pPr>
        <w:pStyle w:val="Listeafsnit"/>
        <w:numPr>
          <w:ilvl w:val="0"/>
          <w:numId w:val="13"/>
        </w:numPr>
        <w:rPr>
          <w:rFonts w:ascii="Georgia" w:hAnsi="Georgia"/>
          <w:sz w:val="20"/>
          <w:szCs w:val="20"/>
        </w:rPr>
      </w:pPr>
      <w:r w:rsidRPr="009A3B97">
        <w:rPr>
          <w:rFonts w:ascii="Georgia" w:hAnsi="Georgia"/>
          <w:sz w:val="20"/>
          <w:szCs w:val="20"/>
        </w:rPr>
        <w:t>Der skal ske fuld omkostningsdækning</w:t>
      </w:r>
    </w:p>
    <w:p w:rsidR="002D69A4" w:rsidRPr="009A3B97" w:rsidRDefault="002D69A4" w:rsidP="00EE2500">
      <w:pPr>
        <w:pStyle w:val="Listeafsnit"/>
        <w:numPr>
          <w:ilvl w:val="0"/>
          <w:numId w:val="13"/>
        </w:numPr>
        <w:rPr>
          <w:rFonts w:ascii="Georgia" w:hAnsi="Georgia"/>
          <w:sz w:val="20"/>
          <w:szCs w:val="20"/>
        </w:rPr>
      </w:pPr>
      <w:r>
        <w:rPr>
          <w:rFonts w:ascii="Georgia" w:hAnsi="Georgia"/>
          <w:sz w:val="20"/>
          <w:szCs w:val="20"/>
        </w:rPr>
        <w:t>Der må ikke ske en konkurrenceforvridning i forhold til</w:t>
      </w:r>
      <w:r w:rsidR="003C13FA">
        <w:rPr>
          <w:rFonts w:ascii="Georgia" w:hAnsi="Georgia"/>
          <w:sz w:val="20"/>
          <w:szCs w:val="20"/>
        </w:rPr>
        <w:t xml:space="preserve"> mulige</w:t>
      </w:r>
      <w:r>
        <w:rPr>
          <w:rFonts w:ascii="Georgia" w:hAnsi="Georgia"/>
          <w:sz w:val="20"/>
          <w:szCs w:val="20"/>
        </w:rPr>
        <w:t xml:space="preserve"> ikke statslige leverandører</w:t>
      </w:r>
    </w:p>
    <w:p w:rsidR="001359E4" w:rsidRPr="009A3B97" w:rsidRDefault="009A3B97" w:rsidP="00EE2500">
      <w:pPr>
        <w:pStyle w:val="Listeafsnit"/>
        <w:numPr>
          <w:ilvl w:val="0"/>
          <w:numId w:val="13"/>
        </w:numPr>
        <w:rPr>
          <w:rFonts w:ascii="Georgia" w:hAnsi="Georgia"/>
          <w:sz w:val="20"/>
          <w:szCs w:val="20"/>
        </w:rPr>
      </w:pPr>
      <w:r w:rsidRPr="009A3B97">
        <w:rPr>
          <w:rFonts w:ascii="Georgia" w:hAnsi="Georgia"/>
          <w:sz w:val="20"/>
          <w:szCs w:val="20"/>
        </w:rPr>
        <w:t>Der skal indregnes et minimumsoverskud</w:t>
      </w:r>
    </w:p>
    <w:p w:rsidR="001359E4" w:rsidRDefault="003C13FA" w:rsidP="00EE2500">
      <w:r>
        <w:t xml:space="preserve">Ovennævnte </w:t>
      </w:r>
      <w:r w:rsidR="001359E4">
        <w:t>hensyn gennemgås nærmere nedenfor.</w:t>
      </w:r>
    </w:p>
    <w:p w:rsidR="002C7E0A" w:rsidRDefault="002C7E0A" w:rsidP="00EE2500"/>
    <w:p w:rsidR="00700AB0" w:rsidRPr="002C7E0A" w:rsidRDefault="001359E4" w:rsidP="002C7E0A">
      <w:pPr>
        <w:rPr>
          <w:b/>
          <w:bCs/>
        </w:rPr>
      </w:pPr>
      <w:r w:rsidRPr="002C7E0A">
        <w:rPr>
          <w:b/>
          <w:bCs/>
        </w:rPr>
        <w:t>Fuld omkostningsdækning</w:t>
      </w:r>
    </w:p>
    <w:p w:rsidR="005564B3" w:rsidRDefault="00E20BF7" w:rsidP="00083A0F">
      <w:r>
        <w:t>Den fulde omkostningsdækning omfatter de direkte og de indirekte omkostninger</w:t>
      </w:r>
      <w:r w:rsidR="001359E4">
        <w:t xml:space="preserve"> som er relateret til projektet</w:t>
      </w:r>
      <w:r>
        <w:t>.</w:t>
      </w:r>
    </w:p>
    <w:p w:rsidR="00830E61" w:rsidRDefault="00830E61" w:rsidP="00083A0F"/>
    <w:p w:rsidR="003C13FA" w:rsidRDefault="00830E61" w:rsidP="00083A0F">
      <w:r>
        <w:t>De direkte omkostninger omfatter</w:t>
      </w:r>
      <w:r w:rsidR="00F96C20">
        <w:t xml:space="preserve"> eksempelvis</w:t>
      </w:r>
      <w:r w:rsidR="003C13FA">
        <w:t>.:</w:t>
      </w:r>
    </w:p>
    <w:p w:rsidR="003C13FA" w:rsidRDefault="00297A16" w:rsidP="00B93F7F">
      <w:pPr>
        <w:pStyle w:val="Ingenafstand"/>
        <w:numPr>
          <w:ilvl w:val="0"/>
          <w:numId w:val="17"/>
        </w:numPr>
      </w:pPr>
      <w:r>
        <w:t>L</w:t>
      </w:r>
      <w:r w:rsidR="00830E61">
        <w:t xml:space="preserve">øn </w:t>
      </w:r>
    </w:p>
    <w:p w:rsidR="003C13FA" w:rsidRDefault="00297A16" w:rsidP="00B93F7F">
      <w:pPr>
        <w:pStyle w:val="Ingenafstand"/>
        <w:numPr>
          <w:ilvl w:val="0"/>
          <w:numId w:val="17"/>
        </w:numPr>
      </w:pPr>
      <w:r>
        <w:t>M</w:t>
      </w:r>
      <w:r w:rsidR="00830E61">
        <w:t xml:space="preserve">aterialer </w:t>
      </w:r>
    </w:p>
    <w:p w:rsidR="003C13FA" w:rsidRDefault="00297A16" w:rsidP="00B93F7F">
      <w:pPr>
        <w:pStyle w:val="Ingenafstand"/>
        <w:numPr>
          <w:ilvl w:val="0"/>
          <w:numId w:val="17"/>
        </w:numPr>
      </w:pPr>
      <w:r>
        <w:t>T</w:t>
      </w:r>
      <w:r w:rsidR="00830E61">
        <w:t xml:space="preserve">jenesteydelser </w:t>
      </w:r>
    </w:p>
    <w:p w:rsidR="003C13FA" w:rsidRDefault="00297A16" w:rsidP="00B93F7F">
      <w:pPr>
        <w:pStyle w:val="Ingenafstand"/>
        <w:numPr>
          <w:ilvl w:val="0"/>
          <w:numId w:val="17"/>
        </w:numPr>
      </w:pPr>
      <w:r>
        <w:t>R</w:t>
      </w:r>
      <w:r w:rsidR="00830E61">
        <w:t>ejseudgifter mv</w:t>
      </w:r>
    </w:p>
    <w:p w:rsidR="00830E61" w:rsidRPr="00503DF5" w:rsidRDefault="003C13FA" w:rsidP="003C13FA">
      <w:r>
        <w:t xml:space="preserve">Det vil sige alle de direkte omkostninger, </w:t>
      </w:r>
      <w:r w:rsidR="00503DF5">
        <w:t xml:space="preserve">som er nødvendige for </w:t>
      </w:r>
      <w:r w:rsidR="00503DF5" w:rsidRPr="00503DF5">
        <w:t>at gennemføre projektet.</w:t>
      </w:r>
    </w:p>
    <w:p w:rsidR="00830E61" w:rsidRPr="00503DF5" w:rsidRDefault="00830E61" w:rsidP="00083A0F"/>
    <w:p w:rsidR="00830E61" w:rsidRPr="00503DF5" w:rsidRDefault="00830E61" w:rsidP="00083A0F">
      <w:r w:rsidRPr="00503DF5">
        <w:t>De indirekte omkostninger består af 3 grupper:</w:t>
      </w:r>
    </w:p>
    <w:p w:rsidR="00830E61" w:rsidRPr="00503DF5" w:rsidRDefault="00552236" w:rsidP="001213CE">
      <w:pPr>
        <w:pStyle w:val="Listeafsnit"/>
        <w:numPr>
          <w:ilvl w:val="0"/>
          <w:numId w:val="14"/>
        </w:numPr>
        <w:rPr>
          <w:rFonts w:ascii="Georgia" w:hAnsi="Georgia"/>
          <w:sz w:val="20"/>
          <w:szCs w:val="20"/>
        </w:rPr>
      </w:pPr>
      <w:r>
        <w:rPr>
          <w:rFonts w:ascii="Georgia" w:hAnsi="Georgia"/>
          <w:sz w:val="20"/>
          <w:szCs w:val="20"/>
        </w:rPr>
        <w:t>De øvrige indirekte, men p</w:t>
      </w:r>
      <w:r w:rsidR="00830E61" w:rsidRPr="00503DF5">
        <w:rPr>
          <w:rFonts w:ascii="Georgia" w:hAnsi="Georgia"/>
          <w:sz w:val="20"/>
          <w:szCs w:val="20"/>
        </w:rPr>
        <w:t>rojekthenførbare</w:t>
      </w:r>
    </w:p>
    <w:p w:rsidR="00830E61" w:rsidRPr="00503DF5" w:rsidRDefault="00830E61" w:rsidP="001213CE">
      <w:pPr>
        <w:pStyle w:val="Listeafsnit"/>
        <w:numPr>
          <w:ilvl w:val="0"/>
          <w:numId w:val="14"/>
        </w:numPr>
        <w:rPr>
          <w:rFonts w:ascii="Georgia" w:hAnsi="Georgia"/>
          <w:sz w:val="20"/>
          <w:szCs w:val="20"/>
        </w:rPr>
      </w:pPr>
      <w:r w:rsidRPr="00503DF5">
        <w:rPr>
          <w:rFonts w:ascii="Georgia" w:hAnsi="Georgia"/>
          <w:sz w:val="20"/>
          <w:szCs w:val="20"/>
        </w:rPr>
        <w:t>Fælles</w:t>
      </w:r>
      <w:r w:rsidR="00552236">
        <w:rPr>
          <w:rFonts w:ascii="Georgia" w:hAnsi="Georgia"/>
          <w:sz w:val="20"/>
          <w:szCs w:val="20"/>
        </w:rPr>
        <w:t xml:space="preserve"> (overhead)</w:t>
      </w:r>
    </w:p>
    <w:p w:rsidR="00830E61" w:rsidRPr="00503DF5" w:rsidRDefault="00830E61" w:rsidP="002C7E0A">
      <w:pPr>
        <w:pStyle w:val="Listeafsnit"/>
        <w:numPr>
          <w:ilvl w:val="0"/>
          <w:numId w:val="14"/>
        </w:numPr>
        <w:rPr>
          <w:rFonts w:ascii="Georgia" w:hAnsi="Georgia"/>
          <w:sz w:val="20"/>
          <w:szCs w:val="20"/>
        </w:rPr>
      </w:pPr>
      <w:r w:rsidRPr="00503DF5">
        <w:rPr>
          <w:rFonts w:ascii="Georgia" w:hAnsi="Georgia"/>
          <w:sz w:val="20"/>
          <w:szCs w:val="20"/>
        </w:rPr>
        <w:t>Reguleringsmæssige</w:t>
      </w:r>
    </w:p>
    <w:p w:rsidR="005564B3" w:rsidRPr="00FD5917" w:rsidRDefault="00830E61" w:rsidP="00083A0F">
      <w:pPr>
        <w:rPr>
          <w:i/>
          <w:iCs/>
        </w:rPr>
      </w:pPr>
      <w:r w:rsidRPr="00FD5917">
        <w:rPr>
          <w:i/>
          <w:iCs/>
        </w:rPr>
        <w:t>Ad 1.</w:t>
      </w:r>
      <w:r w:rsidR="000E02FF" w:rsidRPr="00FD5917">
        <w:rPr>
          <w:i/>
          <w:iCs/>
        </w:rPr>
        <w:t xml:space="preserve"> </w:t>
      </w:r>
      <w:r w:rsidR="00552236">
        <w:rPr>
          <w:i/>
          <w:iCs/>
        </w:rPr>
        <w:t>De øvrige indirekte, men p</w:t>
      </w:r>
      <w:r w:rsidR="000E02FF" w:rsidRPr="00FD5917">
        <w:rPr>
          <w:i/>
          <w:iCs/>
        </w:rPr>
        <w:t xml:space="preserve">rojekthenførbare </w:t>
      </w:r>
      <w:r w:rsidR="00FD5917" w:rsidRPr="00FD5917">
        <w:rPr>
          <w:i/>
          <w:iCs/>
        </w:rPr>
        <w:t>omkostninger</w:t>
      </w:r>
    </w:p>
    <w:p w:rsidR="00EA51BB" w:rsidRDefault="00EA51BB" w:rsidP="00EA51BB">
      <w:r w:rsidRPr="00B736A8">
        <w:t>De</w:t>
      </w:r>
      <w:r w:rsidR="00503DF5">
        <w:t xml:space="preserve"> </w:t>
      </w:r>
      <w:r w:rsidR="00552236">
        <w:t xml:space="preserve">øvrige </w:t>
      </w:r>
      <w:r w:rsidR="00503DF5">
        <w:t>i</w:t>
      </w:r>
      <w:r w:rsidRPr="00B736A8">
        <w:t>ndirekt</w:t>
      </w:r>
      <w:r w:rsidR="00503DF5">
        <w:t>e</w:t>
      </w:r>
      <w:r w:rsidR="00552236">
        <w:t>, men</w:t>
      </w:r>
      <w:r w:rsidR="00503DF5">
        <w:t xml:space="preserve"> </w:t>
      </w:r>
      <w:r w:rsidRPr="00B736A8">
        <w:t>projekthenførbare omkostninger, skal indgå i priskalkulationen som selvs</w:t>
      </w:r>
      <w:r>
        <w:t>tændige punkter. Det kunne være</w:t>
      </w:r>
      <w:r w:rsidR="000B5F9A">
        <w:t>:</w:t>
      </w:r>
    </w:p>
    <w:p w:rsidR="00EA51BB" w:rsidRPr="00437BDC" w:rsidRDefault="00EA51BB" w:rsidP="00EA51BB">
      <w:pPr>
        <w:pStyle w:val="Listeafsnit"/>
        <w:numPr>
          <w:ilvl w:val="0"/>
          <w:numId w:val="12"/>
        </w:numPr>
        <w:rPr>
          <w:rFonts w:ascii="Georgia" w:hAnsi="Georgia"/>
          <w:sz w:val="20"/>
          <w:szCs w:val="20"/>
        </w:rPr>
      </w:pPr>
      <w:r w:rsidRPr="00437BDC">
        <w:rPr>
          <w:rFonts w:ascii="Georgia" w:hAnsi="Georgia"/>
          <w:sz w:val="20"/>
          <w:szCs w:val="20"/>
        </w:rPr>
        <w:t>Professionel erhver</w:t>
      </w:r>
      <w:r w:rsidR="00503DF5">
        <w:rPr>
          <w:rFonts w:ascii="Georgia" w:hAnsi="Georgia"/>
          <w:sz w:val="20"/>
          <w:szCs w:val="20"/>
        </w:rPr>
        <w:t>v</w:t>
      </w:r>
      <w:r w:rsidRPr="00437BDC">
        <w:rPr>
          <w:rFonts w:ascii="Georgia" w:hAnsi="Georgia"/>
          <w:sz w:val="20"/>
          <w:szCs w:val="20"/>
        </w:rPr>
        <w:t>sansvarsforsikring, produktansvar.</w:t>
      </w:r>
    </w:p>
    <w:p w:rsidR="00EA51BB" w:rsidRPr="00437BDC" w:rsidRDefault="00EA51BB" w:rsidP="00EA51BB">
      <w:pPr>
        <w:pStyle w:val="Listeafsnit"/>
        <w:numPr>
          <w:ilvl w:val="0"/>
          <w:numId w:val="5"/>
        </w:numPr>
        <w:rPr>
          <w:rFonts w:ascii="Georgia" w:hAnsi="Georgia"/>
          <w:sz w:val="20"/>
          <w:szCs w:val="20"/>
        </w:rPr>
      </w:pPr>
      <w:r w:rsidRPr="00437BDC">
        <w:rPr>
          <w:rFonts w:ascii="Georgia" w:hAnsi="Georgia"/>
          <w:sz w:val="20"/>
          <w:szCs w:val="20"/>
        </w:rPr>
        <w:t>Laboratorietillæg.</w:t>
      </w:r>
    </w:p>
    <w:p w:rsidR="00EA51BB" w:rsidRPr="00437BDC" w:rsidRDefault="00EA51BB" w:rsidP="00EA51BB">
      <w:pPr>
        <w:pStyle w:val="Listeafsnit"/>
        <w:numPr>
          <w:ilvl w:val="0"/>
          <w:numId w:val="5"/>
        </w:numPr>
        <w:rPr>
          <w:rFonts w:ascii="Georgia" w:hAnsi="Georgia"/>
          <w:sz w:val="20"/>
          <w:szCs w:val="20"/>
        </w:rPr>
      </w:pPr>
      <w:r w:rsidRPr="00437BDC">
        <w:rPr>
          <w:rFonts w:ascii="Georgia" w:hAnsi="Georgia"/>
          <w:sz w:val="20"/>
          <w:szCs w:val="20"/>
        </w:rPr>
        <w:t>Risikotillæg, fx risiko for forsinkelser, bod mm.</w:t>
      </w:r>
    </w:p>
    <w:p w:rsidR="009E5AEC" w:rsidRPr="009E5AEC" w:rsidRDefault="00EA51BB" w:rsidP="009E5AEC">
      <w:pPr>
        <w:pStyle w:val="Listeafsnit"/>
        <w:numPr>
          <w:ilvl w:val="0"/>
          <w:numId w:val="5"/>
        </w:numPr>
        <w:rPr>
          <w:rFonts w:ascii="Georgia" w:hAnsi="Georgia"/>
          <w:sz w:val="20"/>
          <w:szCs w:val="20"/>
        </w:rPr>
      </w:pPr>
      <w:r w:rsidRPr="00437BDC">
        <w:rPr>
          <w:rFonts w:ascii="Georgia" w:hAnsi="Georgia"/>
          <w:sz w:val="20"/>
          <w:szCs w:val="20"/>
        </w:rPr>
        <w:t>Udviklingsomkostninger (kurser, rådgivning, mm).</w:t>
      </w:r>
    </w:p>
    <w:p w:rsidR="00F30B4E" w:rsidRPr="00FD5917" w:rsidRDefault="00503DF5" w:rsidP="00083A0F">
      <w:pPr>
        <w:rPr>
          <w:i/>
          <w:iCs/>
        </w:rPr>
      </w:pPr>
      <w:r w:rsidRPr="00FD5917">
        <w:rPr>
          <w:i/>
          <w:iCs/>
        </w:rPr>
        <w:t>Ad 2.</w:t>
      </w:r>
      <w:r w:rsidR="00FD5917" w:rsidRPr="00FD5917">
        <w:rPr>
          <w:i/>
          <w:iCs/>
        </w:rPr>
        <w:t xml:space="preserve"> </w:t>
      </w:r>
      <w:r w:rsidR="00F500ED">
        <w:rPr>
          <w:i/>
          <w:iCs/>
        </w:rPr>
        <w:t>Fælles i</w:t>
      </w:r>
      <w:r w:rsidR="00FD5917" w:rsidRPr="00FD5917">
        <w:rPr>
          <w:i/>
          <w:iCs/>
        </w:rPr>
        <w:t>ndirekte omkostninger</w:t>
      </w:r>
      <w:r w:rsidR="00552236">
        <w:rPr>
          <w:i/>
          <w:iCs/>
        </w:rPr>
        <w:t xml:space="preserve"> (overhead)</w:t>
      </w:r>
    </w:p>
    <w:p w:rsidR="00503DF5" w:rsidRDefault="00503DF5" w:rsidP="00083A0F">
      <w:r w:rsidRPr="00AB2293">
        <w:t>De indirekte fælles omkostninger er</w:t>
      </w:r>
      <w:r w:rsidR="00CF4A89" w:rsidRPr="00AB2293">
        <w:t xml:space="preserve"> en</w:t>
      </w:r>
      <w:r w:rsidRPr="00AB2293">
        <w:t xml:space="preserve"> </w:t>
      </w:r>
      <w:r w:rsidR="00CF4A89" w:rsidRPr="00AB2293">
        <w:t xml:space="preserve">række </w:t>
      </w:r>
      <w:r w:rsidRPr="00AB2293">
        <w:t>omkostninger</w:t>
      </w:r>
      <w:r w:rsidR="00CF4A89" w:rsidRPr="00AB2293">
        <w:t>,</w:t>
      </w:r>
      <w:r w:rsidRPr="00AB2293">
        <w:t xml:space="preserve"> som AU har på delregnskab 1</w:t>
      </w:r>
      <w:r w:rsidR="00CF4A89" w:rsidRPr="00AB2293">
        <w:t>. Eksempler herpå er administrative lønomkostninger og</w:t>
      </w:r>
      <w:r w:rsidR="00CF4A89">
        <w:t xml:space="preserve"> omkostninger til </w:t>
      </w:r>
      <w:r w:rsidR="00AB2293">
        <w:t xml:space="preserve">eksempelvis </w:t>
      </w:r>
      <w:r w:rsidR="00CF4A89">
        <w:t>k</w:t>
      </w:r>
      <w:r w:rsidR="00CF4A89" w:rsidRPr="00437BDC">
        <w:t>ontorhold</w:t>
      </w:r>
      <w:r w:rsidR="00CF4A89">
        <w:t>,</w:t>
      </w:r>
      <w:r w:rsidR="00CF4A89" w:rsidRPr="00437BDC">
        <w:t xml:space="preserve"> IT </w:t>
      </w:r>
      <w:r w:rsidR="00CF4A89">
        <w:t>og h</w:t>
      </w:r>
      <w:r w:rsidR="00CF4A89" w:rsidRPr="00437BDC">
        <w:t>usleje</w:t>
      </w:r>
    </w:p>
    <w:p w:rsidR="00647FB0" w:rsidRDefault="00647FB0" w:rsidP="00083A0F"/>
    <w:p w:rsidR="00AB2293" w:rsidRPr="00AB2293" w:rsidRDefault="00AB2293" w:rsidP="00083A0F">
      <w:r w:rsidRPr="00AB2293">
        <w:t>De indirekte fælles omkostninger indregnes i en fælles overheadprocentsats, som tillægges projektets priskalkulation.</w:t>
      </w:r>
      <w:r>
        <w:t xml:space="preserve"> </w:t>
      </w:r>
      <w:r w:rsidR="00B40D4B" w:rsidRPr="00B736A8">
        <w:t>Overhead</w:t>
      </w:r>
      <w:r w:rsidR="005600DF">
        <w:t>satsen</w:t>
      </w:r>
      <w:r w:rsidR="00B40D4B" w:rsidRPr="00B736A8">
        <w:t xml:space="preserve"> genberegnes en gang om året</w:t>
      </w:r>
      <w:r w:rsidR="00BB0B2A">
        <w:t xml:space="preserve"> af Økonomisekretariatet</w:t>
      </w:r>
      <w:r w:rsidR="00B40D4B" w:rsidRPr="00B736A8">
        <w:t xml:space="preserve"> på basis af det seneste godkendte regnskab</w:t>
      </w:r>
      <w:r w:rsidR="00BB0B2A">
        <w:t>,</w:t>
      </w:r>
      <w:r w:rsidR="00B40D4B" w:rsidRPr="00B736A8">
        <w:t xml:space="preserve"> og gælder for det kommende år.</w:t>
      </w:r>
      <w:r w:rsidR="00B40D4B">
        <w:t xml:space="preserve"> Den gældende overheadprocent</w:t>
      </w:r>
      <w:r w:rsidR="005600DF">
        <w:t xml:space="preserve"> er en minimumssats, og </w:t>
      </w:r>
      <w:r w:rsidR="00B40D4B">
        <w:t xml:space="preserve">fremgår af priskalkulationsskemaet. </w:t>
      </w:r>
    </w:p>
    <w:p w:rsidR="00B76B2E" w:rsidRDefault="00B76B2E" w:rsidP="00083A0F">
      <w:pPr>
        <w:rPr>
          <w:i/>
          <w:iCs/>
        </w:rPr>
      </w:pPr>
    </w:p>
    <w:p w:rsidR="000E02FF" w:rsidRPr="00FD5917" w:rsidRDefault="00CE16C4" w:rsidP="00083A0F">
      <w:pPr>
        <w:rPr>
          <w:i/>
          <w:iCs/>
        </w:rPr>
      </w:pPr>
      <w:r w:rsidRPr="00FD5917">
        <w:rPr>
          <w:i/>
          <w:iCs/>
        </w:rPr>
        <w:t xml:space="preserve">Ad </w:t>
      </w:r>
      <w:r w:rsidR="00FD5917" w:rsidRPr="00FD5917">
        <w:rPr>
          <w:i/>
          <w:iCs/>
        </w:rPr>
        <w:t>3. Reguleringsmæssige indirekte omkostninger</w:t>
      </w:r>
    </w:p>
    <w:p w:rsidR="008C7AEC" w:rsidRDefault="00EC74CB" w:rsidP="00083A0F">
      <w:r>
        <w:t xml:space="preserve">For at undgå konkurrenceforvridning skal der indregnes en række </w:t>
      </w:r>
      <w:r w:rsidR="007A3DCD">
        <w:t xml:space="preserve">beregnede </w:t>
      </w:r>
      <w:r>
        <w:t>omkostninger. Omkostninger</w:t>
      </w:r>
      <w:r w:rsidR="00861CC1">
        <w:t>,</w:t>
      </w:r>
      <w:r>
        <w:t xml:space="preserve"> </w:t>
      </w:r>
      <w:r w:rsidR="00A41C9D">
        <w:t>som en privat virksomhed ville have</w:t>
      </w:r>
      <w:r w:rsidR="00247078">
        <w:t>,</w:t>
      </w:r>
      <w:r w:rsidR="0007734A">
        <w:t xml:space="preserve"> men som AU er fritaget for eller har lempeligere vilkår</w:t>
      </w:r>
      <w:r w:rsidR="00247078">
        <w:t xml:space="preserve"> for</w:t>
      </w:r>
      <w:r w:rsidR="0007734A">
        <w:t xml:space="preserve">. </w:t>
      </w:r>
      <w:r w:rsidR="00EF087D">
        <w:t>Disse omkostninger kaldes reguleringsmæssige omkostninger.</w:t>
      </w:r>
      <w:r w:rsidR="000B5F9A">
        <w:t xml:space="preserve"> </w:t>
      </w:r>
      <w:r w:rsidR="0007734A">
        <w:t>Nedenstående er eksempler</w:t>
      </w:r>
      <w:r w:rsidR="00EF087D">
        <w:t xml:space="preserve"> på reguleringsmæssige omkostninger</w:t>
      </w:r>
      <w:r w:rsidR="00247078">
        <w:t>,</w:t>
      </w:r>
      <w:r w:rsidR="0007734A">
        <w:t xml:space="preserve"> og listen er ikke udtømmende:</w:t>
      </w:r>
    </w:p>
    <w:p w:rsidR="009A3B97" w:rsidRDefault="009A3B97" w:rsidP="004B4265">
      <w:pPr>
        <w:pStyle w:val="Listeafsnit"/>
        <w:numPr>
          <w:ilvl w:val="0"/>
          <w:numId w:val="9"/>
        </w:numPr>
        <w:rPr>
          <w:rFonts w:ascii="Georgia" w:hAnsi="Georgia"/>
          <w:sz w:val="20"/>
          <w:szCs w:val="20"/>
        </w:rPr>
      </w:pPr>
      <w:r>
        <w:rPr>
          <w:rFonts w:ascii="Georgia" w:hAnsi="Georgia"/>
          <w:sz w:val="20"/>
          <w:szCs w:val="20"/>
        </w:rPr>
        <w:t>N</w:t>
      </w:r>
      <w:r w:rsidRPr="00437BDC">
        <w:rPr>
          <w:rFonts w:ascii="Georgia" w:hAnsi="Georgia"/>
          <w:sz w:val="20"/>
          <w:szCs w:val="20"/>
        </w:rPr>
        <w:t xml:space="preserve">ogle </w:t>
      </w:r>
      <w:r w:rsidR="00F500ED">
        <w:rPr>
          <w:rFonts w:ascii="Georgia" w:hAnsi="Georgia"/>
          <w:sz w:val="20"/>
          <w:szCs w:val="20"/>
        </w:rPr>
        <w:t>DR2-</w:t>
      </w:r>
      <w:r w:rsidRPr="00437BDC">
        <w:rPr>
          <w:rFonts w:ascii="Georgia" w:hAnsi="Georgia"/>
          <w:sz w:val="20"/>
          <w:szCs w:val="20"/>
        </w:rPr>
        <w:t xml:space="preserve">aktiviteter anvender anlæg, som er indkøbt for donerede midler. En privat virksomhed skal låne penge for at finansiere et tilsvarende anlæg. </w:t>
      </w:r>
      <w:r>
        <w:rPr>
          <w:rFonts w:ascii="Georgia" w:hAnsi="Georgia"/>
          <w:sz w:val="20"/>
          <w:szCs w:val="20"/>
        </w:rPr>
        <w:t>For AU er der tale om et ”gratis gode”, som er betalt af andre.</w:t>
      </w:r>
    </w:p>
    <w:p w:rsidR="00CD0F50" w:rsidRDefault="00CD0F50" w:rsidP="004B4265">
      <w:pPr>
        <w:pStyle w:val="Listeafsnit"/>
        <w:numPr>
          <w:ilvl w:val="0"/>
          <w:numId w:val="9"/>
        </w:numPr>
        <w:rPr>
          <w:rFonts w:ascii="Georgia" w:hAnsi="Georgia"/>
          <w:sz w:val="20"/>
          <w:szCs w:val="20"/>
        </w:rPr>
      </w:pPr>
      <w:r>
        <w:rPr>
          <w:rFonts w:ascii="Georgia" w:hAnsi="Georgia"/>
          <w:sz w:val="20"/>
          <w:szCs w:val="20"/>
        </w:rPr>
        <w:t>Anvendelse af indsamlede oplysninger</w:t>
      </w:r>
      <w:r w:rsidR="007A3DCD">
        <w:rPr>
          <w:rFonts w:ascii="Georgia" w:hAnsi="Georgia"/>
          <w:sz w:val="20"/>
          <w:szCs w:val="20"/>
        </w:rPr>
        <w:t>,</w:t>
      </w:r>
      <w:r>
        <w:rPr>
          <w:rFonts w:ascii="Georgia" w:hAnsi="Georgia"/>
          <w:sz w:val="20"/>
          <w:szCs w:val="20"/>
        </w:rPr>
        <w:t xml:space="preserve"> som er betalt af anden ekstern finansiering skal indregnes.</w:t>
      </w:r>
    </w:p>
    <w:p w:rsidR="00EE6D66" w:rsidRPr="00437BDC" w:rsidRDefault="008C7AEC" w:rsidP="004B4265">
      <w:pPr>
        <w:pStyle w:val="Listeafsnit"/>
        <w:numPr>
          <w:ilvl w:val="0"/>
          <w:numId w:val="9"/>
        </w:numPr>
        <w:rPr>
          <w:rFonts w:ascii="Georgia" w:hAnsi="Georgia"/>
          <w:sz w:val="20"/>
          <w:szCs w:val="20"/>
        </w:rPr>
      </w:pPr>
      <w:r w:rsidRPr="00437BDC">
        <w:rPr>
          <w:rFonts w:ascii="Georgia" w:hAnsi="Georgia"/>
          <w:sz w:val="20"/>
          <w:szCs w:val="20"/>
        </w:rPr>
        <w:t>AU er underlagt statens regler om selvforsikring</w:t>
      </w:r>
      <w:r w:rsidR="00247078">
        <w:rPr>
          <w:rFonts w:ascii="Georgia" w:hAnsi="Georgia"/>
          <w:sz w:val="20"/>
          <w:szCs w:val="20"/>
        </w:rPr>
        <w:t>. P</w:t>
      </w:r>
      <w:r w:rsidRPr="00437BDC">
        <w:rPr>
          <w:rFonts w:ascii="Georgia" w:hAnsi="Georgia"/>
          <w:sz w:val="20"/>
          <w:szCs w:val="20"/>
        </w:rPr>
        <w:t>rivate virksomheder skal tegne forsikringer for at dække medarbejderne i tilfælde af arbejdsskader</w:t>
      </w:r>
      <w:r w:rsidR="00247078">
        <w:rPr>
          <w:rFonts w:ascii="Georgia" w:hAnsi="Georgia"/>
          <w:sz w:val="20"/>
          <w:szCs w:val="20"/>
        </w:rPr>
        <w:t>. D</w:t>
      </w:r>
      <w:r w:rsidRPr="00437BDC">
        <w:rPr>
          <w:rFonts w:ascii="Georgia" w:hAnsi="Georgia"/>
          <w:sz w:val="20"/>
          <w:szCs w:val="20"/>
        </w:rPr>
        <w:t xml:space="preserve">ette gælder ikke for AU. </w:t>
      </w:r>
    </w:p>
    <w:p w:rsidR="005D352A" w:rsidRDefault="008C7AEC" w:rsidP="00083A0F">
      <w:pPr>
        <w:pStyle w:val="Listeafsnit"/>
        <w:numPr>
          <w:ilvl w:val="0"/>
          <w:numId w:val="9"/>
        </w:numPr>
        <w:rPr>
          <w:rFonts w:ascii="Georgia" w:hAnsi="Georgia"/>
          <w:sz w:val="20"/>
          <w:szCs w:val="20"/>
        </w:rPr>
      </w:pPr>
      <w:r w:rsidRPr="00437BDC">
        <w:rPr>
          <w:rFonts w:ascii="Georgia" w:hAnsi="Georgia"/>
          <w:sz w:val="20"/>
          <w:szCs w:val="20"/>
        </w:rPr>
        <w:t>Tilsvarende med bilafgifter</w:t>
      </w:r>
      <w:r w:rsidR="00AB317F" w:rsidRPr="00437BDC">
        <w:rPr>
          <w:rFonts w:ascii="Georgia" w:hAnsi="Georgia"/>
          <w:sz w:val="20"/>
          <w:szCs w:val="20"/>
        </w:rPr>
        <w:t xml:space="preserve"> og forsikring</w:t>
      </w:r>
      <w:r w:rsidRPr="00437BDC">
        <w:rPr>
          <w:rFonts w:ascii="Georgia" w:hAnsi="Georgia"/>
          <w:sz w:val="20"/>
          <w:szCs w:val="20"/>
        </w:rPr>
        <w:t>, AU er fritaget</w:t>
      </w:r>
      <w:r w:rsidR="00AB317F" w:rsidRPr="00437BDC">
        <w:rPr>
          <w:rFonts w:ascii="Georgia" w:hAnsi="Georgia"/>
          <w:sz w:val="20"/>
          <w:szCs w:val="20"/>
        </w:rPr>
        <w:t>,</w:t>
      </w:r>
      <w:r w:rsidRPr="00437BDC">
        <w:rPr>
          <w:rFonts w:ascii="Georgia" w:hAnsi="Georgia"/>
          <w:sz w:val="20"/>
          <w:szCs w:val="20"/>
        </w:rPr>
        <w:t xml:space="preserve"> men de private virksomheder skal betale</w:t>
      </w:r>
      <w:r w:rsidR="00AB317F" w:rsidRPr="00437BDC">
        <w:rPr>
          <w:rFonts w:ascii="Georgia" w:hAnsi="Georgia"/>
          <w:sz w:val="20"/>
          <w:szCs w:val="20"/>
        </w:rPr>
        <w:t xml:space="preserve"> </w:t>
      </w:r>
      <w:r w:rsidR="00BF7E89" w:rsidRPr="00437BDC">
        <w:rPr>
          <w:rFonts w:ascii="Georgia" w:hAnsi="Georgia"/>
          <w:sz w:val="20"/>
          <w:szCs w:val="20"/>
        </w:rPr>
        <w:t>af</w:t>
      </w:r>
      <w:r w:rsidR="00A30D08" w:rsidRPr="00437BDC">
        <w:rPr>
          <w:rFonts w:ascii="Georgia" w:hAnsi="Georgia"/>
          <w:sz w:val="20"/>
          <w:szCs w:val="20"/>
        </w:rPr>
        <w:t>gifterne og tegne forsikringer.</w:t>
      </w:r>
    </w:p>
    <w:p w:rsidR="008B49A8" w:rsidRPr="00437BDC" w:rsidRDefault="008B49A8" w:rsidP="00083A0F">
      <w:pPr>
        <w:pStyle w:val="Listeafsnit"/>
        <w:numPr>
          <w:ilvl w:val="0"/>
          <w:numId w:val="9"/>
        </w:numPr>
        <w:rPr>
          <w:rFonts w:ascii="Georgia" w:hAnsi="Georgia"/>
          <w:sz w:val="20"/>
          <w:szCs w:val="20"/>
        </w:rPr>
      </w:pPr>
      <w:r>
        <w:rPr>
          <w:rFonts w:ascii="Georgia" w:hAnsi="Georgia"/>
          <w:sz w:val="20"/>
          <w:szCs w:val="20"/>
        </w:rPr>
        <w:t>Alle skatter og afgifter som AU er fritaget for i kraft af at være en statslig institution, men som en privat aktør skal betale.</w:t>
      </w:r>
    </w:p>
    <w:p w:rsidR="00C9091D" w:rsidRDefault="00A85FF7" w:rsidP="00416536">
      <w:r w:rsidRPr="00B736A8">
        <w:t>En række af disse for AU ”gratis” goder, er relateret til en enkelt serviceydelse</w:t>
      </w:r>
      <w:r w:rsidR="00C9091D">
        <w:t xml:space="preserve"> (skal indgå i priskalkulationen som selvstændige punkter)</w:t>
      </w:r>
      <w:r>
        <w:t>,</w:t>
      </w:r>
      <w:r w:rsidRPr="00B736A8">
        <w:t xml:space="preserve"> og andre er fælles for hele AU. </w:t>
      </w:r>
    </w:p>
    <w:p w:rsidR="00CD0F50" w:rsidRDefault="00CD0F50" w:rsidP="00416536"/>
    <w:p w:rsidR="00A85FF7" w:rsidRDefault="00A85FF7" w:rsidP="00B37CCB">
      <w:r w:rsidRPr="00B736A8">
        <w:t>De omkostninger (reguleringsmæssige), der kan siges at være fælles for hele AU, er teknisk beregnet og lagt ind i overheaden</w:t>
      </w:r>
      <w:r>
        <w:t>. D</w:t>
      </w:r>
      <w:r w:rsidRPr="00B736A8">
        <w:t xml:space="preserve">et drejer sig om selvforsikringsordningen, bilafgifter, revision. </w:t>
      </w:r>
    </w:p>
    <w:p w:rsidR="00B76B2E" w:rsidRDefault="00B76B2E" w:rsidP="00B37CCB"/>
    <w:p w:rsidR="009A3B97" w:rsidRPr="009A3B97" w:rsidRDefault="009A3B97" w:rsidP="00B37CCB">
      <w:pPr>
        <w:rPr>
          <w:b/>
          <w:bCs/>
        </w:rPr>
      </w:pPr>
      <w:r w:rsidRPr="009A3B97">
        <w:rPr>
          <w:b/>
          <w:bCs/>
        </w:rPr>
        <w:t>Minimumsoverskud</w:t>
      </w:r>
      <w:r w:rsidR="004D2B06">
        <w:rPr>
          <w:b/>
          <w:bCs/>
        </w:rPr>
        <w:t xml:space="preserve"> (EBIT)</w:t>
      </w:r>
    </w:p>
    <w:p w:rsidR="00A175D5" w:rsidRDefault="009A3B97" w:rsidP="00B37CCB">
      <w:r>
        <w:t>Ud over</w:t>
      </w:r>
      <w:r w:rsidR="00796055">
        <w:t xml:space="preserve"> fuld omkostningsdækning</w:t>
      </w:r>
      <w:r>
        <w:t>, som er beskrevet ovenfor, skal der</w:t>
      </w:r>
      <w:r w:rsidR="004E2D63" w:rsidRPr="00B736A8">
        <w:t xml:space="preserve"> </w:t>
      </w:r>
      <w:r w:rsidR="00083A0F" w:rsidRPr="00B736A8">
        <w:t>in</w:t>
      </w:r>
      <w:r w:rsidR="004E2D63" w:rsidRPr="00B736A8">
        <w:t>d</w:t>
      </w:r>
      <w:r w:rsidR="00083A0F" w:rsidRPr="00B736A8">
        <w:t>regnes et overskud</w:t>
      </w:r>
      <w:r w:rsidR="00A57EAA" w:rsidRPr="00B736A8">
        <w:t>,</w:t>
      </w:r>
      <w:r w:rsidR="00083A0F" w:rsidRPr="00B736A8">
        <w:t xml:space="preserve"> når der er tale om </w:t>
      </w:r>
      <w:r w:rsidR="00416536">
        <w:t>indtægtsdækket virksomhed</w:t>
      </w:r>
      <w:r w:rsidR="00EF0940">
        <w:t>.</w:t>
      </w:r>
      <w:r w:rsidR="00FA66A8">
        <w:t xml:space="preserve"> </w:t>
      </w:r>
      <w:r w:rsidR="00EF0940">
        <w:t>O</w:t>
      </w:r>
      <w:r w:rsidR="00083A0F" w:rsidRPr="00B736A8">
        <w:t>verskuddet skal</w:t>
      </w:r>
      <w:r>
        <w:t xml:space="preserve"> som minimum</w:t>
      </w:r>
      <w:r w:rsidR="00083A0F" w:rsidRPr="00B736A8">
        <w:t xml:space="preserve"> svare til</w:t>
      </w:r>
      <w:r w:rsidR="004E2D63" w:rsidRPr="00B736A8">
        <w:t>,</w:t>
      </w:r>
      <w:r w:rsidR="00083A0F" w:rsidRPr="00B736A8">
        <w:t xml:space="preserve"> hvad der er normalt på</w:t>
      </w:r>
      <w:r>
        <w:t xml:space="preserve"> det pågældende</w:t>
      </w:r>
      <w:r w:rsidR="00083A0F" w:rsidRPr="00B736A8">
        <w:t xml:space="preserve"> </w:t>
      </w:r>
      <w:r w:rsidR="008D4A66">
        <w:t>marked</w:t>
      </w:r>
      <w:r w:rsidR="00F83AFA">
        <w:t>.</w:t>
      </w:r>
      <w:r w:rsidR="00437BDC">
        <w:t xml:space="preserve"> </w:t>
      </w:r>
      <w:r>
        <w:t>Omvendt er der dog i</w:t>
      </w:r>
      <w:r w:rsidR="00437BDC">
        <w:t>kke nogen begrænsning i</w:t>
      </w:r>
      <w:r w:rsidR="00BD7BC2">
        <w:t>,</w:t>
      </w:r>
      <w:r w:rsidR="00437BDC">
        <w:t xml:space="preserve"> </w:t>
      </w:r>
      <w:r>
        <w:t>hvor stort overskuddet må være.</w:t>
      </w:r>
      <w:r w:rsidR="00FA66A8" w:rsidRPr="00FA66A8">
        <w:t xml:space="preserve"> </w:t>
      </w:r>
      <w:r w:rsidR="00FA66A8">
        <w:t>Overskuddet bogføres ikke i Navision, men kan aflæses direkte i projektets bundlinje.</w:t>
      </w:r>
    </w:p>
    <w:p w:rsidR="00841A4E" w:rsidRDefault="00841A4E" w:rsidP="00B37CCB"/>
    <w:p w:rsidR="004D2B06" w:rsidRDefault="009A3B97" w:rsidP="00416536">
      <w:r>
        <w:t xml:space="preserve">Til </w:t>
      </w:r>
      <w:r w:rsidR="00182E49">
        <w:t>fastsættelse</w:t>
      </w:r>
      <w:r>
        <w:t xml:space="preserve"> af </w:t>
      </w:r>
      <w:r w:rsidR="00AA04B7">
        <w:t xml:space="preserve">minimumsoverskuddet, anvendes den </w:t>
      </w:r>
      <w:r w:rsidR="00A175D5">
        <w:t>markedsbestemte EBIT-margin</w:t>
      </w:r>
      <w:r w:rsidR="00BD7BC2">
        <w:t>, som beregnes af Økonomisekretariatet</w:t>
      </w:r>
      <w:r w:rsidR="008B49A8">
        <w:t xml:space="preserve"> og offentliggøres på AU’s hjemmeside sammen med overheadsberegningen</w:t>
      </w:r>
      <w:r w:rsidR="00BD7BC2">
        <w:t>.</w:t>
      </w:r>
      <w:r w:rsidR="00A175D5">
        <w:t xml:space="preserve"> </w:t>
      </w:r>
      <w:r w:rsidR="00BD7BC2">
        <w:t xml:space="preserve">Den </w:t>
      </w:r>
      <w:r w:rsidR="00E20BF7">
        <w:t>markedsbestemte EBIT-margin varierer afhængig</w:t>
      </w:r>
      <w:r w:rsidR="000B5F9A">
        <w:t>t</w:t>
      </w:r>
      <w:r w:rsidR="00E20BF7">
        <w:t xml:space="preserve"> af</w:t>
      </w:r>
      <w:r w:rsidR="00EF0940">
        <w:t>,</w:t>
      </w:r>
      <w:r w:rsidR="00E20BF7">
        <w:t xml:space="preserve"> hvilket marked man befinder sig i.</w:t>
      </w:r>
      <w:r w:rsidR="009045EB">
        <w:t xml:space="preserve"> </w:t>
      </w:r>
    </w:p>
    <w:p w:rsidR="009E5AEC" w:rsidRDefault="009E5AEC" w:rsidP="009E5AEC"/>
    <w:p w:rsidR="009E5AEC" w:rsidRDefault="009E5AEC" w:rsidP="009E5AEC">
      <w:r>
        <w:t>Ved at bruge EBIT-margien, tages der højde for skat og finansiering, idet den er et udtryk for andel af overskud før skat og finansiering. I forbindelse med udarbejdelse af priskalkulationen, kan EBIT-margien opfattes som en ”omkostning”.</w:t>
      </w:r>
    </w:p>
    <w:p w:rsidR="000169D8" w:rsidRDefault="000169D8" w:rsidP="00083A0F"/>
    <w:p w:rsidR="000169D8" w:rsidRDefault="000169D8" w:rsidP="00083A0F">
      <w:r>
        <w:t xml:space="preserve">Som det fremgår af </w:t>
      </w:r>
      <w:hyperlink r:id="rId8" w:history="1">
        <w:r w:rsidRPr="004869C7">
          <w:rPr>
            <w:rStyle w:val="Hyperlink"/>
          </w:rPr>
          <w:t>vejledningen til beregnin</w:t>
        </w:r>
        <w:r w:rsidRPr="004869C7">
          <w:rPr>
            <w:rStyle w:val="Hyperlink"/>
          </w:rPr>
          <w:t>g</w:t>
        </w:r>
        <w:r w:rsidRPr="004869C7">
          <w:rPr>
            <w:rStyle w:val="Hyperlink"/>
          </w:rPr>
          <w:t xml:space="preserve"> af EBIT-margin</w:t>
        </w:r>
      </w:hyperlink>
      <w:r>
        <w:t xml:space="preserve">, er denne vejledende og kan afviges ved særlige markedssituationer.  </w:t>
      </w:r>
      <w:r w:rsidR="008B49A8">
        <w:t>Hvis der anvendes en anden EBIT-margien, skal den dokumenteres og arkiveret i Workzone på sagen.</w:t>
      </w:r>
    </w:p>
    <w:p w:rsidR="00F45D73" w:rsidRDefault="00F45D73" w:rsidP="00083A0F"/>
    <w:p w:rsidR="00840788" w:rsidRPr="00B736A8" w:rsidRDefault="00F863BA" w:rsidP="00840788">
      <w:pPr>
        <w:rPr>
          <w:b/>
        </w:rPr>
      </w:pPr>
      <w:r>
        <w:rPr>
          <w:b/>
        </w:rPr>
        <w:t>E</w:t>
      </w:r>
      <w:r w:rsidR="00840788" w:rsidRPr="00B736A8">
        <w:rPr>
          <w:b/>
        </w:rPr>
        <w:t>fterkalkulation</w:t>
      </w:r>
    </w:p>
    <w:p w:rsidR="00297A16" w:rsidRDefault="00840788" w:rsidP="00AB4A1D">
      <w:r w:rsidRPr="00B736A8">
        <w:t xml:space="preserve">Der skal jævnfør </w:t>
      </w:r>
      <w:r>
        <w:t>v</w:t>
      </w:r>
      <w:r w:rsidRPr="00B736A8">
        <w:t>ejledningen foretages en efterkalkulation, hvor AU foretager en regnskabsmæssig opfølgning på</w:t>
      </w:r>
      <w:r>
        <w:t>,</w:t>
      </w:r>
      <w:r w:rsidRPr="00B736A8">
        <w:t xml:space="preserve"> om prisfastsættelsen for ydelsen har været korrekt.  Endvidere skal prisen på hver enkelt ydelse som minimum justeres på baggrund af efterkalkulationen kombineret med viden om fremtidige økonomiske hændelser. Efterkalkulationen og den efterfølgende justering af prisen skal foretages mindst en gang om året.</w:t>
      </w:r>
    </w:p>
    <w:sectPr w:rsidR="00297A16" w:rsidSect="00B93F7F">
      <w:headerReference w:type="first" r:id="rId9"/>
      <w:footerReference w:type="first" r:id="rId10"/>
      <w:endnotePr>
        <w:numFmt w:val="decimal"/>
      </w:endnotePr>
      <w:pgSz w:w="11907" w:h="16840" w:code="9"/>
      <w:pgMar w:top="993" w:right="1080" w:bottom="1276" w:left="1080" w:header="567" w:footer="32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DFC7EB" w16cid:durableId="25585530"/>
  <w16cid:commentId w16cid:paraId="3DAD7963" w16cid:durableId="255857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D1A" w:rsidRDefault="00DC1D1A" w:rsidP="00083A0F">
      <w:pPr>
        <w:spacing w:line="240" w:lineRule="auto"/>
      </w:pPr>
      <w:r>
        <w:separator/>
      </w:r>
    </w:p>
  </w:endnote>
  <w:endnote w:type="continuationSeparator" w:id="0">
    <w:p w:rsidR="00DC1D1A" w:rsidRDefault="00DC1D1A" w:rsidP="00083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U Peto">
    <w:panose1 w:val="040C0B07020602020301"/>
    <w:charset w:val="00"/>
    <w:family w:val="decorative"/>
    <w:pitch w:val="variable"/>
    <w:sig w:usb0="800000AF" w:usb1="0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655130"/>
      <w:docPartObj>
        <w:docPartGallery w:val="Page Numbers (Bottom of Page)"/>
        <w:docPartUnique/>
      </w:docPartObj>
    </w:sdtPr>
    <w:sdtEndPr>
      <w:rPr>
        <w:color w:val="1F4E79" w:themeColor="accent1" w:themeShade="80"/>
      </w:rPr>
    </w:sdtEndPr>
    <w:sdtContent>
      <w:sdt>
        <w:sdtPr>
          <w:id w:val="1728636285"/>
          <w:docPartObj>
            <w:docPartGallery w:val="Page Numbers (Top of Page)"/>
            <w:docPartUnique/>
          </w:docPartObj>
        </w:sdtPr>
        <w:sdtEndPr>
          <w:rPr>
            <w:color w:val="1F4E79" w:themeColor="accent1" w:themeShade="80"/>
          </w:rPr>
        </w:sdtEndPr>
        <w:sdtContent>
          <w:p w:rsidR="00B93F7F" w:rsidRPr="00B93F7F" w:rsidRDefault="00B93F7F">
            <w:pPr>
              <w:pStyle w:val="Sidefod"/>
              <w:jc w:val="center"/>
              <w:rPr>
                <w:color w:val="1F4E79" w:themeColor="accent1" w:themeShade="80"/>
              </w:rPr>
            </w:pPr>
            <w:r w:rsidRPr="00B93F7F">
              <w:rPr>
                <w:color w:val="1F4E79" w:themeColor="accent1" w:themeShade="80"/>
              </w:rPr>
              <w:t xml:space="preserve">Side </w:t>
            </w:r>
            <w:r w:rsidRPr="00B93F7F">
              <w:rPr>
                <w:b/>
                <w:bCs/>
                <w:color w:val="1F4E79" w:themeColor="accent1" w:themeShade="80"/>
                <w:sz w:val="24"/>
                <w:szCs w:val="24"/>
              </w:rPr>
              <w:fldChar w:fldCharType="begin"/>
            </w:r>
            <w:r w:rsidRPr="00B93F7F">
              <w:rPr>
                <w:b/>
                <w:bCs/>
                <w:color w:val="1F4E79" w:themeColor="accent1" w:themeShade="80"/>
              </w:rPr>
              <w:instrText>PAGE</w:instrText>
            </w:r>
            <w:r w:rsidRPr="00B93F7F">
              <w:rPr>
                <w:b/>
                <w:bCs/>
                <w:color w:val="1F4E79" w:themeColor="accent1" w:themeShade="80"/>
                <w:sz w:val="24"/>
                <w:szCs w:val="24"/>
              </w:rPr>
              <w:fldChar w:fldCharType="separate"/>
            </w:r>
            <w:r w:rsidR="00841A4E">
              <w:rPr>
                <w:b/>
                <w:bCs/>
                <w:noProof/>
                <w:color w:val="1F4E79" w:themeColor="accent1" w:themeShade="80"/>
              </w:rPr>
              <w:t>1</w:t>
            </w:r>
            <w:r w:rsidRPr="00B93F7F">
              <w:rPr>
                <w:b/>
                <w:bCs/>
                <w:color w:val="1F4E79" w:themeColor="accent1" w:themeShade="80"/>
                <w:sz w:val="24"/>
                <w:szCs w:val="24"/>
              </w:rPr>
              <w:fldChar w:fldCharType="end"/>
            </w:r>
            <w:r w:rsidRPr="00B93F7F">
              <w:rPr>
                <w:color w:val="1F4E79" w:themeColor="accent1" w:themeShade="80"/>
              </w:rPr>
              <w:t xml:space="preserve"> af </w:t>
            </w:r>
            <w:r w:rsidRPr="00B93F7F">
              <w:rPr>
                <w:b/>
                <w:bCs/>
                <w:color w:val="1F4E79" w:themeColor="accent1" w:themeShade="80"/>
                <w:sz w:val="24"/>
                <w:szCs w:val="24"/>
              </w:rPr>
              <w:fldChar w:fldCharType="begin"/>
            </w:r>
            <w:r w:rsidRPr="00B93F7F">
              <w:rPr>
                <w:b/>
                <w:bCs/>
                <w:color w:val="1F4E79" w:themeColor="accent1" w:themeShade="80"/>
              </w:rPr>
              <w:instrText>NUMPAGES</w:instrText>
            </w:r>
            <w:r w:rsidRPr="00B93F7F">
              <w:rPr>
                <w:b/>
                <w:bCs/>
                <w:color w:val="1F4E79" w:themeColor="accent1" w:themeShade="80"/>
                <w:sz w:val="24"/>
                <w:szCs w:val="24"/>
              </w:rPr>
              <w:fldChar w:fldCharType="separate"/>
            </w:r>
            <w:r w:rsidR="00841A4E">
              <w:rPr>
                <w:b/>
                <w:bCs/>
                <w:noProof/>
                <w:color w:val="1F4E79" w:themeColor="accent1" w:themeShade="80"/>
              </w:rPr>
              <w:t>2</w:t>
            </w:r>
            <w:r w:rsidRPr="00B93F7F">
              <w:rPr>
                <w:b/>
                <w:bCs/>
                <w:color w:val="1F4E79" w:themeColor="accent1" w:themeShade="80"/>
                <w:sz w:val="24"/>
                <w:szCs w:val="24"/>
              </w:rPr>
              <w:fldChar w:fldCharType="end"/>
            </w:r>
          </w:p>
        </w:sdtContent>
      </w:sdt>
    </w:sdtContent>
  </w:sdt>
  <w:p w:rsidR="00B93F7F" w:rsidRDefault="00B93F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D1A" w:rsidRDefault="00DC1D1A" w:rsidP="00083A0F">
      <w:pPr>
        <w:spacing w:line="240" w:lineRule="auto"/>
      </w:pPr>
      <w:r>
        <w:separator/>
      </w:r>
    </w:p>
  </w:footnote>
  <w:footnote w:type="continuationSeparator" w:id="0">
    <w:p w:rsidR="00DC1D1A" w:rsidRDefault="00DC1D1A" w:rsidP="00083A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7F" w:rsidRPr="00B93F7F" w:rsidRDefault="00B93F7F">
    <w:pPr>
      <w:pStyle w:val="Sidehoved"/>
      <w:rPr>
        <w:color w:val="1F3864" w:themeColor="accent5" w:themeShade="8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6"/>
      <w:gridCol w:w="3246"/>
    </w:tblGrid>
    <w:tr w:rsidR="00B93F7F" w:rsidRPr="00B93F7F" w:rsidTr="00B93F7F">
      <w:tc>
        <w:tcPr>
          <w:tcW w:w="3245" w:type="dxa"/>
        </w:tcPr>
        <w:p w:rsidR="00B93F7F" w:rsidRPr="00B93F7F" w:rsidRDefault="00B93F7F">
          <w:pPr>
            <w:pStyle w:val="Sidehoved"/>
            <w:rPr>
              <w:rFonts w:ascii="AU Peto" w:hAnsi="AU Peto"/>
              <w:b/>
              <w:color w:val="1F3864" w:themeColor="accent5" w:themeShade="80"/>
              <w:sz w:val="72"/>
              <w:szCs w:val="72"/>
            </w:rPr>
          </w:pPr>
          <w:r w:rsidRPr="00B93F7F">
            <w:rPr>
              <w:rFonts w:ascii="AU Peto" w:hAnsi="AU Peto"/>
              <w:b/>
              <w:color w:val="1F3864" w:themeColor="accent5" w:themeShade="80"/>
              <w:sz w:val="72"/>
              <w:szCs w:val="72"/>
            </w:rPr>
            <w:t>AU</w:t>
          </w:r>
        </w:p>
        <w:p w:rsidR="00B93F7F" w:rsidRPr="00B93F7F" w:rsidRDefault="00B93F7F">
          <w:pPr>
            <w:pStyle w:val="Sidehoved"/>
            <w:rPr>
              <w:color w:val="1F3864" w:themeColor="accent5" w:themeShade="80"/>
            </w:rPr>
          </w:pPr>
          <w:r w:rsidRPr="00B93F7F">
            <w:rPr>
              <w:b/>
              <w:color w:val="1F3864" w:themeColor="accent5" w:themeShade="80"/>
            </w:rPr>
            <w:t>AARHUS UNVERSITET</w:t>
          </w:r>
        </w:p>
      </w:tc>
      <w:tc>
        <w:tcPr>
          <w:tcW w:w="3246" w:type="dxa"/>
        </w:tcPr>
        <w:p w:rsidR="00B93F7F" w:rsidRPr="00B93F7F" w:rsidRDefault="00B93F7F" w:rsidP="00B93F7F">
          <w:pPr>
            <w:pStyle w:val="Sidehoved"/>
            <w:jc w:val="center"/>
            <w:rPr>
              <w:color w:val="1F3864" w:themeColor="accent5" w:themeShade="80"/>
            </w:rPr>
          </w:pPr>
        </w:p>
        <w:p w:rsidR="00B93F7F" w:rsidRPr="00B93F7F" w:rsidRDefault="00B93F7F" w:rsidP="00B93F7F">
          <w:pPr>
            <w:pStyle w:val="Sidehoved"/>
            <w:jc w:val="center"/>
            <w:rPr>
              <w:color w:val="1F3864" w:themeColor="accent5" w:themeShade="80"/>
            </w:rPr>
          </w:pPr>
        </w:p>
        <w:p w:rsidR="00B93F7F" w:rsidRPr="00B93F7F" w:rsidRDefault="00B93F7F" w:rsidP="00B93F7F">
          <w:pPr>
            <w:pStyle w:val="Sidehoved"/>
            <w:jc w:val="center"/>
            <w:rPr>
              <w:b/>
              <w:color w:val="1F3864" w:themeColor="accent5" w:themeShade="80"/>
              <w:sz w:val="32"/>
              <w:szCs w:val="32"/>
            </w:rPr>
          </w:pPr>
          <w:r w:rsidRPr="00B93F7F">
            <w:rPr>
              <w:b/>
              <w:color w:val="1F3864" w:themeColor="accent5" w:themeShade="80"/>
              <w:sz w:val="32"/>
              <w:szCs w:val="32"/>
            </w:rPr>
            <w:t>Vejledning</w:t>
          </w:r>
        </w:p>
      </w:tc>
      <w:tc>
        <w:tcPr>
          <w:tcW w:w="3246" w:type="dxa"/>
        </w:tcPr>
        <w:p w:rsidR="00B93F7F" w:rsidRPr="00B93F7F" w:rsidRDefault="00B93F7F">
          <w:pPr>
            <w:pStyle w:val="Sidehoved"/>
            <w:rPr>
              <w:b/>
              <w:color w:val="1F3864" w:themeColor="accent5" w:themeShade="80"/>
              <w:sz w:val="20"/>
            </w:rPr>
          </w:pPr>
        </w:p>
        <w:p w:rsidR="00B93F7F" w:rsidRPr="00B93F7F" w:rsidRDefault="00B93F7F">
          <w:pPr>
            <w:pStyle w:val="Sidehoved"/>
            <w:rPr>
              <w:b/>
              <w:color w:val="1F3864" w:themeColor="accent5" w:themeShade="80"/>
              <w:sz w:val="20"/>
            </w:rPr>
          </w:pPr>
        </w:p>
        <w:p w:rsidR="00B93F7F" w:rsidRPr="00B93F7F" w:rsidRDefault="00B93F7F" w:rsidP="00B93F7F">
          <w:pPr>
            <w:pStyle w:val="Sidehoved"/>
            <w:jc w:val="right"/>
            <w:rPr>
              <w:b/>
              <w:color w:val="1F3864" w:themeColor="accent5" w:themeShade="80"/>
              <w:sz w:val="20"/>
            </w:rPr>
          </w:pPr>
          <w:r w:rsidRPr="00B93F7F">
            <w:rPr>
              <w:b/>
              <w:color w:val="1F3864" w:themeColor="accent5" w:themeShade="80"/>
              <w:sz w:val="20"/>
            </w:rPr>
            <w:t>Århus den 16. december 2021</w:t>
          </w:r>
        </w:p>
      </w:tc>
    </w:tr>
  </w:tbl>
  <w:p w:rsidR="00B93F7F" w:rsidRPr="00B93F7F" w:rsidRDefault="00DC1D1A">
    <w:pPr>
      <w:pStyle w:val="Sidehoved"/>
      <w:rPr>
        <w:color w:val="1F3864" w:themeColor="accent5" w:themeShade="80"/>
      </w:rPr>
    </w:pPr>
    <w:r>
      <w:rPr>
        <w:color w:val="1F3864" w:themeColor="accent5" w:themeShade="80"/>
      </w:rPr>
      <w:pict w14:anchorId="245A8918">
        <v:rect id="_x0000_i1025" style="width:487.35pt;height:1.5pt;mso-position-vertical:absolute" o:hralign="center" o:hrstd="t" o:hrnoshade="t" o:hr="t" fillcolor="#1f3763 [1608]" stroked="f"/>
      </w:pict>
    </w:r>
  </w:p>
  <w:p w:rsidR="00B93F7F" w:rsidRPr="00B93F7F" w:rsidRDefault="00B93F7F">
    <w:pPr>
      <w:pStyle w:val="Sidehoved"/>
      <w:rPr>
        <w:color w:val="1F3864" w:themeColor="accent5"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5CF"/>
    <w:multiLevelType w:val="hybridMultilevel"/>
    <w:tmpl w:val="9CA4D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D27468"/>
    <w:multiLevelType w:val="hybridMultilevel"/>
    <w:tmpl w:val="05FE36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8B04E85"/>
    <w:multiLevelType w:val="hybridMultilevel"/>
    <w:tmpl w:val="AA3EA3A2"/>
    <w:lvl w:ilvl="0" w:tplc="87740F2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A4B566A"/>
    <w:multiLevelType w:val="hybridMultilevel"/>
    <w:tmpl w:val="D2E64E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8A61A5"/>
    <w:multiLevelType w:val="hybridMultilevel"/>
    <w:tmpl w:val="67F6B5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CE53A9"/>
    <w:multiLevelType w:val="hybridMultilevel"/>
    <w:tmpl w:val="86C238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3F337A"/>
    <w:multiLevelType w:val="hybridMultilevel"/>
    <w:tmpl w:val="33AEFAB0"/>
    <w:lvl w:ilvl="0" w:tplc="FD265414">
      <w:start w:val="1"/>
      <w:numFmt w:val="decimal"/>
      <w:lvlText w:val="%1."/>
      <w:lvlJc w:val="left"/>
      <w:pPr>
        <w:ind w:left="360" w:hanging="360"/>
      </w:pPr>
      <w:rPr>
        <w:rFonts w:ascii="Georgia" w:eastAsia="Times New Roman" w:hAnsi="Georgia" w:cs="Times New Roman"/>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BC2519C"/>
    <w:multiLevelType w:val="hybridMultilevel"/>
    <w:tmpl w:val="36EA0D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E73B4A"/>
    <w:multiLevelType w:val="hybridMultilevel"/>
    <w:tmpl w:val="6494FF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1D70935"/>
    <w:multiLevelType w:val="hybridMultilevel"/>
    <w:tmpl w:val="F05A5456"/>
    <w:lvl w:ilvl="0" w:tplc="3DA68DCA">
      <w:start w:val="1"/>
      <w:numFmt w:val="decimal"/>
      <w:lvlText w:val="%1."/>
      <w:lvlJc w:val="left"/>
      <w:pPr>
        <w:ind w:left="1664" w:hanging="360"/>
      </w:pPr>
      <w:rPr>
        <w:rFonts w:hint="default"/>
      </w:r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0" w15:restartNumberingAfterBreak="0">
    <w:nsid w:val="602C5357"/>
    <w:multiLevelType w:val="hybridMultilevel"/>
    <w:tmpl w:val="F05A5456"/>
    <w:lvl w:ilvl="0" w:tplc="3DA68DCA">
      <w:start w:val="1"/>
      <w:numFmt w:val="decimal"/>
      <w:lvlText w:val="%1."/>
      <w:lvlJc w:val="left"/>
      <w:pPr>
        <w:ind w:left="1664" w:hanging="360"/>
      </w:pPr>
      <w:rPr>
        <w:rFonts w:hint="default"/>
      </w:r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1" w15:restartNumberingAfterBreak="0">
    <w:nsid w:val="638E7B6B"/>
    <w:multiLevelType w:val="hybridMultilevel"/>
    <w:tmpl w:val="FB8CD5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7531B0F"/>
    <w:multiLevelType w:val="hybridMultilevel"/>
    <w:tmpl w:val="67FA5B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86C4ECC"/>
    <w:multiLevelType w:val="hybridMultilevel"/>
    <w:tmpl w:val="5F603D32"/>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A7A2028"/>
    <w:multiLevelType w:val="hybridMultilevel"/>
    <w:tmpl w:val="5F603D32"/>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3CA66FE"/>
    <w:multiLevelType w:val="hybridMultilevel"/>
    <w:tmpl w:val="E7B8F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4E717D6"/>
    <w:multiLevelType w:val="hybridMultilevel"/>
    <w:tmpl w:val="40A2EAF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3"/>
  </w:num>
  <w:num w:numId="4">
    <w:abstractNumId w:val="16"/>
  </w:num>
  <w:num w:numId="5">
    <w:abstractNumId w:val="4"/>
  </w:num>
  <w:num w:numId="6">
    <w:abstractNumId w:val="14"/>
  </w:num>
  <w:num w:numId="7">
    <w:abstractNumId w:val="1"/>
  </w:num>
  <w:num w:numId="8">
    <w:abstractNumId w:val="15"/>
  </w:num>
  <w:num w:numId="9">
    <w:abstractNumId w:val="7"/>
  </w:num>
  <w:num w:numId="10">
    <w:abstractNumId w:val="3"/>
  </w:num>
  <w:num w:numId="11">
    <w:abstractNumId w:val="0"/>
  </w:num>
  <w:num w:numId="12">
    <w:abstractNumId w:val="12"/>
  </w:num>
  <w:num w:numId="13">
    <w:abstractNumId w:val="10"/>
  </w:num>
  <w:num w:numId="14">
    <w:abstractNumId w:val="8"/>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0F"/>
    <w:rsid w:val="000140CA"/>
    <w:rsid w:val="000169D8"/>
    <w:rsid w:val="00021BAF"/>
    <w:rsid w:val="0002446A"/>
    <w:rsid w:val="00024B36"/>
    <w:rsid w:val="0003382E"/>
    <w:rsid w:val="000403E9"/>
    <w:rsid w:val="0007734A"/>
    <w:rsid w:val="00080CD6"/>
    <w:rsid w:val="00083A0F"/>
    <w:rsid w:val="00084838"/>
    <w:rsid w:val="000B5F9A"/>
    <w:rsid w:val="000E02FF"/>
    <w:rsid w:val="000F27AE"/>
    <w:rsid w:val="000F4B15"/>
    <w:rsid w:val="0010283F"/>
    <w:rsid w:val="001213CE"/>
    <w:rsid w:val="001359E4"/>
    <w:rsid w:val="00143A69"/>
    <w:rsid w:val="0016317B"/>
    <w:rsid w:val="00182E49"/>
    <w:rsid w:val="001A5F8C"/>
    <w:rsid w:val="00217CC1"/>
    <w:rsid w:val="00222EEB"/>
    <w:rsid w:val="002462CC"/>
    <w:rsid w:val="00247078"/>
    <w:rsid w:val="0027312D"/>
    <w:rsid w:val="00297A16"/>
    <w:rsid w:val="002B6F57"/>
    <w:rsid w:val="002C7E0A"/>
    <w:rsid w:val="002D69A4"/>
    <w:rsid w:val="002E7292"/>
    <w:rsid w:val="002F4E07"/>
    <w:rsid w:val="00360844"/>
    <w:rsid w:val="003773B4"/>
    <w:rsid w:val="0038579B"/>
    <w:rsid w:val="0039741C"/>
    <w:rsid w:val="003C13FA"/>
    <w:rsid w:val="003D3368"/>
    <w:rsid w:val="00416536"/>
    <w:rsid w:val="00420D4B"/>
    <w:rsid w:val="004260A3"/>
    <w:rsid w:val="00427556"/>
    <w:rsid w:val="00433E8D"/>
    <w:rsid w:val="004344F2"/>
    <w:rsid w:val="00437BDC"/>
    <w:rsid w:val="00473C08"/>
    <w:rsid w:val="004869C7"/>
    <w:rsid w:val="004A3FDD"/>
    <w:rsid w:val="004B4ABC"/>
    <w:rsid w:val="004B5F7A"/>
    <w:rsid w:val="004C0038"/>
    <w:rsid w:val="004C3544"/>
    <w:rsid w:val="004D2B06"/>
    <w:rsid w:val="004D50E0"/>
    <w:rsid w:val="004E2D63"/>
    <w:rsid w:val="004E5E8B"/>
    <w:rsid w:val="00503DF5"/>
    <w:rsid w:val="00516D3A"/>
    <w:rsid w:val="005267D5"/>
    <w:rsid w:val="005419BC"/>
    <w:rsid w:val="00544DA7"/>
    <w:rsid w:val="00552236"/>
    <w:rsid w:val="005564B3"/>
    <w:rsid w:val="00557804"/>
    <w:rsid w:val="005600DF"/>
    <w:rsid w:val="00586440"/>
    <w:rsid w:val="005A3D22"/>
    <w:rsid w:val="005B00C8"/>
    <w:rsid w:val="005B5835"/>
    <w:rsid w:val="005C3707"/>
    <w:rsid w:val="005D352A"/>
    <w:rsid w:val="006368A3"/>
    <w:rsid w:val="00647FB0"/>
    <w:rsid w:val="00654A15"/>
    <w:rsid w:val="00665083"/>
    <w:rsid w:val="00665AA4"/>
    <w:rsid w:val="006925F4"/>
    <w:rsid w:val="006A2C83"/>
    <w:rsid w:val="006A2CDB"/>
    <w:rsid w:val="006A6BD6"/>
    <w:rsid w:val="006C6780"/>
    <w:rsid w:val="00700941"/>
    <w:rsid w:val="00700AB0"/>
    <w:rsid w:val="00704098"/>
    <w:rsid w:val="0070750D"/>
    <w:rsid w:val="00714CC0"/>
    <w:rsid w:val="0073044F"/>
    <w:rsid w:val="00730F35"/>
    <w:rsid w:val="00733328"/>
    <w:rsid w:val="007408E6"/>
    <w:rsid w:val="00743B9A"/>
    <w:rsid w:val="00743BDF"/>
    <w:rsid w:val="00750845"/>
    <w:rsid w:val="00777F6A"/>
    <w:rsid w:val="00796055"/>
    <w:rsid w:val="007A2CBD"/>
    <w:rsid w:val="007A340E"/>
    <w:rsid w:val="007A3DCD"/>
    <w:rsid w:val="007A4DEC"/>
    <w:rsid w:val="007B55D6"/>
    <w:rsid w:val="007D5EA3"/>
    <w:rsid w:val="007E1653"/>
    <w:rsid w:val="007E75B9"/>
    <w:rsid w:val="00816B56"/>
    <w:rsid w:val="00830E61"/>
    <w:rsid w:val="00840788"/>
    <w:rsid w:val="00841A4E"/>
    <w:rsid w:val="00846642"/>
    <w:rsid w:val="008475C0"/>
    <w:rsid w:val="008555A7"/>
    <w:rsid w:val="00860FED"/>
    <w:rsid w:val="00861CC1"/>
    <w:rsid w:val="0088025D"/>
    <w:rsid w:val="00893A05"/>
    <w:rsid w:val="008B49A8"/>
    <w:rsid w:val="008C1AED"/>
    <w:rsid w:val="008C374E"/>
    <w:rsid w:val="008C7AEC"/>
    <w:rsid w:val="008D4A66"/>
    <w:rsid w:val="008E0A45"/>
    <w:rsid w:val="008F6D06"/>
    <w:rsid w:val="009034AB"/>
    <w:rsid w:val="009044C9"/>
    <w:rsid w:val="009045EB"/>
    <w:rsid w:val="009160BD"/>
    <w:rsid w:val="00917FB9"/>
    <w:rsid w:val="00924268"/>
    <w:rsid w:val="00935238"/>
    <w:rsid w:val="00947742"/>
    <w:rsid w:val="00963767"/>
    <w:rsid w:val="00970E79"/>
    <w:rsid w:val="009A31C5"/>
    <w:rsid w:val="009A3B97"/>
    <w:rsid w:val="009C5C32"/>
    <w:rsid w:val="009D6792"/>
    <w:rsid w:val="009E1BB6"/>
    <w:rsid w:val="009E5AEC"/>
    <w:rsid w:val="00A175D5"/>
    <w:rsid w:val="00A24F6D"/>
    <w:rsid w:val="00A30D08"/>
    <w:rsid w:val="00A41C9D"/>
    <w:rsid w:val="00A443DF"/>
    <w:rsid w:val="00A57EAA"/>
    <w:rsid w:val="00A6054A"/>
    <w:rsid w:val="00A60F1E"/>
    <w:rsid w:val="00A8371A"/>
    <w:rsid w:val="00A85FF7"/>
    <w:rsid w:val="00A954FE"/>
    <w:rsid w:val="00A96DE5"/>
    <w:rsid w:val="00AA04B7"/>
    <w:rsid w:val="00AB2293"/>
    <w:rsid w:val="00AB317F"/>
    <w:rsid w:val="00AB4A1D"/>
    <w:rsid w:val="00AB73B1"/>
    <w:rsid w:val="00AD0960"/>
    <w:rsid w:val="00AE2548"/>
    <w:rsid w:val="00B30D38"/>
    <w:rsid w:val="00B31251"/>
    <w:rsid w:val="00B33787"/>
    <w:rsid w:val="00B339F9"/>
    <w:rsid w:val="00B37CCB"/>
    <w:rsid w:val="00B40D4B"/>
    <w:rsid w:val="00B441CD"/>
    <w:rsid w:val="00B50BA8"/>
    <w:rsid w:val="00B663CD"/>
    <w:rsid w:val="00B6640D"/>
    <w:rsid w:val="00B736A8"/>
    <w:rsid w:val="00B76B2E"/>
    <w:rsid w:val="00B8092D"/>
    <w:rsid w:val="00B93F7F"/>
    <w:rsid w:val="00BB0B2A"/>
    <w:rsid w:val="00BB2B29"/>
    <w:rsid w:val="00BB54DF"/>
    <w:rsid w:val="00BB5DF8"/>
    <w:rsid w:val="00BC7C91"/>
    <w:rsid w:val="00BD7119"/>
    <w:rsid w:val="00BD7BC2"/>
    <w:rsid w:val="00BE1FE0"/>
    <w:rsid w:val="00BE7EF7"/>
    <w:rsid w:val="00BF7E89"/>
    <w:rsid w:val="00C0428B"/>
    <w:rsid w:val="00C06805"/>
    <w:rsid w:val="00C16C05"/>
    <w:rsid w:val="00C30E95"/>
    <w:rsid w:val="00C46370"/>
    <w:rsid w:val="00C66744"/>
    <w:rsid w:val="00C705AE"/>
    <w:rsid w:val="00C72D1A"/>
    <w:rsid w:val="00C9091D"/>
    <w:rsid w:val="00CA02F5"/>
    <w:rsid w:val="00CA77E2"/>
    <w:rsid w:val="00CC4481"/>
    <w:rsid w:val="00CD0F50"/>
    <w:rsid w:val="00CD3C1A"/>
    <w:rsid w:val="00CD515F"/>
    <w:rsid w:val="00CE16C4"/>
    <w:rsid w:val="00CF26BA"/>
    <w:rsid w:val="00CF4A89"/>
    <w:rsid w:val="00CF71A6"/>
    <w:rsid w:val="00D0209B"/>
    <w:rsid w:val="00D05AE2"/>
    <w:rsid w:val="00D4768E"/>
    <w:rsid w:val="00D564E6"/>
    <w:rsid w:val="00D64C32"/>
    <w:rsid w:val="00D717B4"/>
    <w:rsid w:val="00D747D2"/>
    <w:rsid w:val="00D823F7"/>
    <w:rsid w:val="00DC1D1A"/>
    <w:rsid w:val="00DF46AC"/>
    <w:rsid w:val="00E068A1"/>
    <w:rsid w:val="00E1134D"/>
    <w:rsid w:val="00E20BF7"/>
    <w:rsid w:val="00E40D1C"/>
    <w:rsid w:val="00E47426"/>
    <w:rsid w:val="00E51E19"/>
    <w:rsid w:val="00E716C6"/>
    <w:rsid w:val="00E86C38"/>
    <w:rsid w:val="00E94865"/>
    <w:rsid w:val="00EA51BB"/>
    <w:rsid w:val="00EB6F94"/>
    <w:rsid w:val="00EC74CB"/>
    <w:rsid w:val="00ED217F"/>
    <w:rsid w:val="00ED286B"/>
    <w:rsid w:val="00EE2500"/>
    <w:rsid w:val="00EE6A6D"/>
    <w:rsid w:val="00EE6D66"/>
    <w:rsid w:val="00EE7E9D"/>
    <w:rsid w:val="00EF087D"/>
    <w:rsid w:val="00EF0940"/>
    <w:rsid w:val="00EF7622"/>
    <w:rsid w:val="00F003EA"/>
    <w:rsid w:val="00F20176"/>
    <w:rsid w:val="00F2602F"/>
    <w:rsid w:val="00F30B4E"/>
    <w:rsid w:val="00F320A4"/>
    <w:rsid w:val="00F45D73"/>
    <w:rsid w:val="00F46655"/>
    <w:rsid w:val="00F500ED"/>
    <w:rsid w:val="00F5333C"/>
    <w:rsid w:val="00F81D3D"/>
    <w:rsid w:val="00F82F1A"/>
    <w:rsid w:val="00F83AFA"/>
    <w:rsid w:val="00F8613F"/>
    <w:rsid w:val="00F863BA"/>
    <w:rsid w:val="00F96C20"/>
    <w:rsid w:val="00FA66A8"/>
    <w:rsid w:val="00FB212E"/>
    <w:rsid w:val="00FB2F65"/>
    <w:rsid w:val="00FD5917"/>
    <w:rsid w:val="00FD64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F5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A0F"/>
    <w:pPr>
      <w:spacing w:after="0" w:line="280" w:lineRule="atLeast"/>
    </w:pPr>
    <w:rPr>
      <w:rFonts w:ascii="Georgia" w:eastAsia="Times New Roman" w:hAnsi="Georgia" w:cs="Times New Roman"/>
      <w:sz w:val="20"/>
      <w:szCs w:val="20"/>
      <w:lang w:eastAsia="da-DK"/>
    </w:rPr>
  </w:style>
  <w:style w:type="paragraph" w:styleId="Overskrift1">
    <w:name w:val="heading 1"/>
    <w:basedOn w:val="Normal"/>
    <w:next w:val="Normal"/>
    <w:link w:val="Overskrift1Tegn"/>
    <w:uiPriority w:val="9"/>
    <w:qFormat/>
    <w:rsid w:val="00083A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083A0F"/>
    <w:pPr>
      <w:tabs>
        <w:tab w:val="center" w:pos="3617"/>
        <w:tab w:val="right" w:pos="7228"/>
        <w:tab w:val="left" w:pos="10205"/>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99"/>
    <w:rsid w:val="00083A0F"/>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99"/>
    <w:rsid w:val="00083A0F"/>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99"/>
    <w:rsid w:val="00083A0F"/>
    <w:rPr>
      <w:rFonts w:ascii="AU Passata" w:eastAsia="Times New Roman" w:hAnsi="AU Passata" w:cs="Times New Roman"/>
      <w:color w:val="87888A"/>
      <w:spacing w:val="10"/>
      <w:sz w:val="14"/>
      <w:szCs w:val="20"/>
      <w:lang w:eastAsia="da-DK"/>
    </w:rPr>
  </w:style>
  <w:style w:type="character" w:styleId="Sidetal">
    <w:name w:val="page number"/>
    <w:uiPriority w:val="99"/>
    <w:semiHidden/>
    <w:rsid w:val="00083A0F"/>
    <w:rPr>
      <w:rFonts w:ascii="AU Passata" w:hAnsi="AU Passata"/>
      <w:sz w:val="14"/>
      <w:lang w:val="da-DK"/>
    </w:rPr>
  </w:style>
  <w:style w:type="paragraph" w:customStyle="1" w:styleId="Template">
    <w:name w:val="Template"/>
    <w:uiPriority w:val="8"/>
    <w:semiHidden/>
    <w:rsid w:val="00083A0F"/>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083A0F"/>
    <w:rPr>
      <w:b/>
    </w:rPr>
  </w:style>
  <w:style w:type="paragraph" w:customStyle="1" w:styleId="Template-Address">
    <w:name w:val="Template - Address"/>
    <w:basedOn w:val="Template"/>
    <w:uiPriority w:val="8"/>
    <w:semiHidden/>
    <w:rsid w:val="00083A0F"/>
  </w:style>
  <w:style w:type="paragraph" w:customStyle="1" w:styleId="Template-Date">
    <w:name w:val="Template - Date"/>
    <w:basedOn w:val="Template-Address"/>
    <w:uiPriority w:val="8"/>
    <w:semiHidden/>
    <w:rsid w:val="00083A0F"/>
  </w:style>
  <w:style w:type="table" w:styleId="Tabel-Gitter">
    <w:name w:val="Table Grid"/>
    <w:basedOn w:val="Tabel-Normal"/>
    <w:rsid w:val="00083A0F"/>
    <w:pPr>
      <w:spacing w:after="0" w:line="24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Afdeling">
    <w:name w:val="Template - Afdeling"/>
    <w:basedOn w:val="Template"/>
    <w:uiPriority w:val="8"/>
    <w:semiHidden/>
    <w:rsid w:val="00083A0F"/>
    <w:rPr>
      <w:b/>
    </w:rPr>
  </w:style>
  <w:style w:type="paragraph" w:customStyle="1" w:styleId="Dokumentinfo">
    <w:name w:val="Dokument info"/>
    <w:basedOn w:val="Normal"/>
    <w:uiPriority w:val="5"/>
    <w:semiHidden/>
    <w:rsid w:val="00083A0F"/>
    <w:rPr>
      <w:b/>
    </w:rPr>
  </w:style>
  <w:style w:type="paragraph" w:customStyle="1" w:styleId="Template-Parentlogoname">
    <w:name w:val="Template - Parent logoname"/>
    <w:basedOn w:val="Template"/>
    <w:uiPriority w:val="8"/>
    <w:semiHidden/>
    <w:rsid w:val="00083A0F"/>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083A0F"/>
    <w:pPr>
      <w:spacing w:before="66" w:line="160" w:lineRule="atLeast"/>
      <w:contextualSpacing/>
    </w:pPr>
    <w:rPr>
      <w:sz w:val="14"/>
    </w:rPr>
  </w:style>
  <w:style w:type="character" w:styleId="Kommentarhenvisning">
    <w:name w:val="annotation reference"/>
    <w:uiPriority w:val="99"/>
    <w:semiHidden/>
    <w:rsid w:val="00083A0F"/>
    <w:rPr>
      <w:sz w:val="16"/>
      <w:szCs w:val="16"/>
      <w:lang w:val="da-DK"/>
    </w:rPr>
  </w:style>
  <w:style w:type="paragraph" w:styleId="Kommentartekst">
    <w:name w:val="annotation text"/>
    <w:basedOn w:val="Normal"/>
    <w:link w:val="KommentartekstTegn"/>
    <w:uiPriority w:val="99"/>
    <w:semiHidden/>
    <w:rsid w:val="00083A0F"/>
  </w:style>
  <w:style w:type="character" w:customStyle="1" w:styleId="KommentartekstTegn">
    <w:name w:val="Kommentartekst Tegn"/>
    <w:basedOn w:val="Standardskrifttypeiafsnit"/>
    <w:link w:val="Kommentartekst"/>
    <w:uiPriority w:val="99"/>
    <w:semiHidden/>
    <w:rsid w:val="00083A0F"/>
    <w:rPr>
      <w:rFonts w:ascii="Georgia" w:eastAsia="Times New Roman" w:hAnsi="Georgia" w:cs="Times New Roman"/>
      <w:sz w:val="20"/>
      <w:szCs w:val="20"/>
      <w:lang w:eastAsia="da-DK"/>
    </w:rPr>
  </w:style>
  <w:style w:type="paragraph" w:customStyle="1" w:styleId="Template-kolofonstreg">
    <w:name w:val="Template - kolofon streg"/>
    <w:basedOn w:val="Template-Date"/>
    <w:uiPriority w:val="99"/>
    <w:semiHidden/>
    <w:qFormat/>
    <w:rsid w:val="00083A0F"/>
    <w:pPr>
      <w:spacing w:after="120" w:line="270" w:lineRule="exact"/>
      <w:contextualSpacing/>
    </w:pPr>
    <w:rPr>
      <w:rFonts w:ascii="Georgia" w:hAnsi="Georgia"/>
      <w:noProof w:val="0"/>
      <w:spacing w:val="0"/>
      <w:sz w:val="20"/>
      <w:szCs w:val="20"/>
    </w:rPr>
  </w:style>
  <w:style w:type="paragraph" w:customStyle="1" w:styleId="Emne">
    <w:name w:val="Emne"/>
    <w:basedOn w:val="Template-Afdeling"/>
    <w:next w:val="Template-Afdeling"/>
    <w:uiPriority w:val="99"/>
    <w:semiHidden/>
    <w:qFormat/>
    <w:rsid w:val="00083A0F"/>
    <w:rPr>
      <w:sz w:val="22"/>
    </w:rPr>
  </w:style>
  <w:style w:type="paragraph" w:customStyle="1" w:styleId="Heading1nonumbering">
    <w:name w:val="Heading 1 no numbering"/>
    <w:basedOn w:val="Overskrift1"/>
    <w:uiPriority w:val="2"/>
    <w:qFormat/>
    <w:rsid w:val="00083A0F"/>
    <w:pPr>
      <w:keepNext w:val="0"/>
      <w:keepLines w:val="0"/>
      <w:spacing w:before="0"/>
    </w:pPr>
    <w:rPr>
      <w:rFonts w:ascii="Georgia" w:eastAsia="Times New Roman" w:hAnsi="Georgia" w:cs="Arial"/>
      <w:b/>
      <w:bCs/>
      <w:color w:val="auto"/>
      <w:sz w:val="20"/>
    </w:rPr>
  </w:style>
  <w:style w:type="paragraph" w:styleId="Listeafsnit">
    <w:name w:val="List Paragraph"/>
    <w:basedOn w:val="Normal"/>
    <w:uiPriority w:val="34"/>
    <w:qFormat/>
    <w:rsid w:val="00083A0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9"/>
    <w:rsid w:val="00083A0F"/>
    <w:rPr>
      <w:rFonts w:asciiTheme="majorHAnsi" w:eastAsiaTheme="majorEastAsia" w:hAnsiTheme="majorHAnsi" w:cstheme="majorBidi"/>
      <w:color w:val="2E74B5" w:themeColor="accent1" w:themeShade="BF"/>
      <w:sz w:val="32"/>
      <w:szCs w:val="32"/>
      <w:lang w:eastAsia="da-DK"/>
    </w:rPr>
  </w:style>
  <w:style w:type="paragraph" w:styleId="Markeringsbobletekst">
    <w:name w:val="Balloon Text"/>
    <w:basedOn w:val="Normal"/>
    <w:link w:val="MarkeringsbobletekstTegn"/>
    <w:uiPriority w:val="99"/>
    <w:semiHidden/>
    <w:unhideWhenUsed/>
    <w:rsid w:val="00083A0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83A0F"/>
    <w:rPr>
      <w:rFonts w:ascii="Segoe UI" w:eastAsia="Times New Roman" w:hAnsi="Segoe UI" w:cs="Segoe UI"/>
      <w:sz w:val="18"/>
      <w:szCs w:val="18"/>
      <w:lang w:eastAsia="da-DK"/>
    </w:rPr>
  </w:style>
  <w:style w:type="character" w:styleId="Hyperlink">
    <w:name w:val="Hyperlink"/>
    <w:basedOn w:val="Standardskrifttypeiafsnit"/>
    <w:uiPriority w:val="99"/>
    <w:unhideWhenUsed/>
    <w:rsid w:val="000F4B15"/>
    <w:rPr>
      <w:color w:val="0563C1" w:themeColor="hyperlink"/>
      <w:u w:val="single"/>
    </w:rPr>
  </w:style>
  <w:style w:type="paragraph" w:styleId="Kommentaremne">
    <w:name w:val="annotation subject"/>
    <w:basedOn w:val="Kommentartekst"/>
    <w:next w:val="Kommentartekst"/>
    <w:link w:val="KommentaremneTegn"/>
    <w:uiPriority w:val="99"/>
    <w:semiHidden/>
    <w:unhideWhenUsed/>
    <w:rsid w:val="006A2C83"/>
    <w:pPr>
      <w:spacing w:line="240" w:lineRule="auto"/>
    </w:pPr>
    <w:rPr>
      <w:b/>
      <w:bCs/>
    </w:rPr>
  </w:style>
  <w:style w:type="character" w:customStyle="1" w:styleId="KommentaremneTegn">
    <w:name w:val="Kommentaremne Tegn"/>
    <w:basedOn w:val="KommentartekstTegn"/>
    <w:link w:val="Kommentaremne"/>
    <w:uiPriority w:val="99"/>
    <w:semiHidden/>
    <w:rsid w:val="006A2C83"/>
    <w:rPr>
      <w:rFonts w:ascii="Georgia" w:eastAsia="Times New Roman" w:hAnsi="Georgia" w:cs="Times New Roman"/>
      <w:b/>
      <w:bCs/>
      <w:sz w:val="20"/>
      <w:szCs w:val="20"/>
      <w:lang w:eastAsia="da-DK"/>
    </w:rPr>
  </w:style>
  <w:style w:type="paragraph" w:styleId="Brdtekst">
    <w:name w:val="Body Text"/>
    <w:basedOn w:val="Normal"/>
    <w:link w:val="BrdtekstTegn"/>
    <w:uiPriority w:val="1"/>
    <w:qFormat/>
    <w:rsid w:val="00A96DE5"/>
    <w:pPr>
      <w:autoSpaceDE w:val="0"/>
      <w:autoSpaceDN w:val="0"/>
      <w:adjustRightInd w:val="0"/>
      <w:spacing w:before="10" w:line="240" w:lineRule="auto"/>
      <w:ind w:left="118" w:right="1285"/>
    </w:pPr>
    <w:rPr>
      <w:rFonts w:ascii="Garamond" w:eastAsiaTheme="minorHAnsi" w:hAnsi="Garamond" w:cs="Garamond"/>
      <w:sz w:val="24"/>
      <w:szCs w:val="24"/>
      <w:lang w:eastAsia="en-US"/>
    </w:rPr>
  </w:style>
  <w:style w:type="character" w:customStyle="1" w:styleId="BrdtekstTegn">
    <w:name w:val="Brødtekst Tegn"/>
    <w:basedOn w:val="Standardskrifttypeiafsnit"/>
    <w:link w:val="Brdtekst"/>
    <w:uiPriority w:val="1"/>
    <w:rsid w:val="00A96DE5"/>
    <w:rPr>
      <w:rFonts w:ascii="Garamond" w:hAnsi="Garamond" w:cs="Garamond"/>
      <w:sz w:val="24"/>
      <w:szCs w:val="24"/>
    </w:rPr>
  </w:style>
  <w:style w:type="character" w:styleId="BesgtLink">
    <w:name w:val="FollowedHyperlink"/>
    <w:basedOn w:val="Standardskrifttypeiafsnit"/>
    <w:uiPriority w:val="99"/>
    <w:semiHidden/>
    <w:unhideWhenUsed/>
    <w:rsid w:val="00B33787"/>
    <w:rPr>
      <w:color w:val="954F72" w:themeColor="followedHyperlink"/>
      <w:u w:val="single"/>
    </w:rPr>
  </w:style>
  <w:style w:type="paragraph" w:styleId="Fodnotetekst">
    <w:name w:val="footnote text"/>
    <w:basedOn w:val="Normal"/>
    <w:link w:val="FodnotetekstTegn"/>
    <w:uiPriority w:val="99"/>
    <w:semiHidden/>
    <w:unhideWhenUsed/>
    <w:rsid w:val="00B40D4B"/>
    <w:pPr>
      <w:spacing w:line="240" w:lineRule="auto"/>
    </w:pPr>
  </w:style>
  <w:style w:type="character" w:customStyle="1" w:styleId="FodnotetekstTegn">
    <w:name w:val="Fodnotetekst Tegn"/>
    <w:basedOn w:val="Standardskrifttypeiafsnit"/>
    <w:link w:val="Fodnotetekst"/>
    <w:uiPriority w:val="99"/>
    <w:semiHidden/>
    <w:rsid w:val="00B40D4B"/>
    <w:rPr>
      <w:rFonts w:ascii="Georgia" w:eastAsia="Times New Roman" w:hAnsi="Georgia" w:cs="Times New Roman"/>
      <w:sz w:val="20"/>
      <w:szCs w:val="20"/>
      <w:lang w:eastAsia="da-DK"/>
    </w:rPr>
  </w:style>
  <w:style w:type="character" w:styleId="Fodnotehenvisning">
    <w:name w:val="footnote reference"/>
    <w:basedOn w:val="Standardskrifttypeiafsnit"/>
    <w:uiPriority w:val="99"/>
    <w:semiHidden/>
    <w:unhideWhenUsed/>
    <w:rsid w:val="00B40D4B"/>
    <w:rPr>
      <w:vertAlign w:val="superscript"/>
    </w:rPr>
  </w:style>
  <w:style w:type="character" w:customStyle="1" w:styleId="Ulstomtale1">
    <w:name w:val="Uløst omtale1"/>
    <w:basedOn w:val="Standardskrifttypeiafsnit"/>
    <w:uiPriority w:val="99"/>
    <w:semiHidden/>
    <w:unhideWhenUsed/>
    <w:rsid w:val="004869C7"/>
    <w:rPr>
      <w:color w:val="605E5C"/>
      <w:shd w:val="clear" w:color="auto" w:fill="E1DFDD"/>
    </w:rPr>
  </w:style>
  <w:style w:type="paragraph" w:styleId="Korrektur">
    <w:name w:val="Revision"/>
    <w:hidden/>
    <w:uiPriority w:val="99"/>
    <w:semiHidden/>
    <w:rsid w:val="003C13FA"/>
    <w:pPr>
      <w:spacing w:after="0" w:line="240" w:lineRule="auto"/>
    </w:pPr>
    <w:rPr>
      <w:rFonts w:ascii="Georgia" w:eastAsia="Times New Roman" w:hAnsi="Georgia" w:cs="Times New Roman"/>
      <w:sz w:val="20"/>
      <w:szCs w:val="20"/>
      <w:lang w:eastAsia="da-DK"/>
    </w:rPr>
  </w:style>
  <w:style w:type="paragraph" w:styleId="Ingenafstand">
    <w:name w:val="No Spacing"/>
    <w:uiPriority w:val="1"/>
    <w:qFormat/>
    <w:rsid w:val="00297A16"/>
    <w:pPr>
      <w:spacing w:after="0" w:line="240" w:lineRule="auto"/>
    </w:pPr>
    <w:rPr>
      <w:rFonts w:ascii="Georgia" w:eastAsia="Times New Roman" w:hAnsi="Georgia"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fileadmin/www.medarbejdere.au.dk/Institutter/AU_oekonomi/OEkonomimanual/Eksterne_projekter/IV/Notat_vedr._beregning_af_IV_OH_for_2022_final_version.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E4F7-60FE-4E34-96C3-CF143AED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4524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2021-12-16T14:52:00Z</dcterms:created>
  <dcterms:modified xsi:type="dcterms:W3CDTF">2021-12-16T15:01:00Z</dcterms:modified>
</cp:coreProperties>
</file>