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2AE92" w14:textId="7AD6C42F" w:rsidR="00062E21" w:rsidRPr="0029410F" w:rsidRDefault="0088199E" w:rsidP="00062E21">
      <w:pPr>
        <w:rPr>
          <w:sz w:val="20"/>
          <w:lang w:val="en-GB"/>
        </w:rPr>
      </w:pPr>
      <w:r w:rsidRPr="00B1301E">
        <w:rPr>
          <w:b/>
          <w:sz w:val="24"/>
          <w:lang w:val="en-GB" w:bidi="en-GB"/>
        </w:rPr>
        <w:t>Plan of action 202</w:t>
      </w:r>
      <w:r w:rsidR="0029410F">
        <w:rPr>
          <w:b/>
          <w:sz w:val="24"/>
          <w:lang w:val="en-GB" w:bidi="en-GB"/>
        </w:rPr>
        <w:t>2</w:t>
      </w:r>
      <w:r w:rsidRPr="00B1301E">
        <w:rPr>
          <w:b/>
          <w:sz w:val="24"/>
          <w:lang w:val="en-GB" w:bidi="en-GB"/>
        </w:rPr>
        <w:t xml:space="preserve"> </w:t>
      </w:r>
      <w:proofErr w:type="gramStart"/>
      <w:r w:rsidRPr="00B1301E">
        <w:rPr>
          <w:b/>
          <w:sz w:val="24"/>
          <w:lang w:val="en-GB" w:bidi="en-GB"/>
        </w:rPr>
        <w:t xml:space="preserve">for Bachelor’s degree programme </w:t>
      </w:r>
      <w:r w:rsidRPr="00B1301E">
        <w:rPr>
          <w:b/>
          <w:sz w:val="24"/>
          <w:highlight w:val="yellow"/>
          <w:lang w:val="en-GB" w:bidi="en-GB"/>
        </w:rPr>
        <w:t>in X</w:t>
      </w:r>
      <w:r w:rsidR="00B547F5">
        <w:rPr>
          <w:b/>
          <w:sz w:val="24"/>
          <w:highlight w:val="yellow"/>
          <w:lang w:val="en-GB" w:bidi="en-GB"/>
        </w:rPr>
        <w:t>X</w:t>
      </w:r>
      <w:r w:rsidRPr="00B1301E">
        <w:rPr>
          <w:b/>
          <w:sz w:val="24"/>
          <w:lang w:val="en-GB" w:bidi="en-GB"/>
        </w:rPr>
        <w:t xml:space="preserve">/Master’s degree programme </w:t>
      </w:r>
      <w:r w:rsidRPr="00B1301E">
        <w:rPr>
          <w:b/>
          <w:sz w:val="24"/>
          <w:highlight w:val="yellow"/>
          <w:lang w:val="en-GB" w:bidi="en-GB"/>
        </w:rPr>
        <w:t>in X</w:t>
      </w:r>
      <w:r w:rsidR="00B547F5">
        <w:rPr>
          <w:b/>
          <w:sz w:val="24"/>
          <w:highlight w:val="yellow"/>
          <w:lang w:val="en-GB" w:bidi="en-GB"/>
        </w:rPr>
        <w:t>X</w:t>
      </w:r>
      <w:r w:rsidRPr="00B1301E">
        <w:rPr>
          <w:b/>
          <w:sz w:val="24"/>
          <w:lang w:val="en-GB" w:bidi="en-GB"/>
        </w:rPr>
        <w:t xml:space="preserve">/professional Master’s degree programme </w:t>
      </w:r>
      <w:r w:rsidRPr="00B1301E">
        <w:rPr>
          <w:b/>
          <w:sz w:val="24"/>
          <w:highlight w:val="yellow"/>
          <w:lang w:val="en-GB" w:bidi="en-GB"/>
        </w:rPr>
        <w:t>in X</w:t>
      </w:r>
      <w:r w:rsidR="00B547F5">
        <w:rPr>
          <w:b/>
          <w:sz w:val="24"/>
          <w:highlight w:val="yellow"/>
          <w:lang w:val="en-GB" w:bidi="en-GB"/>
        </w:rPr>
        <w:t>X</w:t>
      </w:r>
      <w:r w:rsidRPr="00B1301E">
        <w:rPr>
          <w:b/>
          <w:sz w:val="24"/>
          <w:lang w:val="en-GB" w:bidi="en-GB"/>
        </w:rPr>
        <w:br/>
      </w:r>
      <w:r w:rsidR="0029410F">
        <w:rPr>
          <w:b/>
          <w:sz w:val="20"/>
          <w:lang w:val="en-GB" w:bidi="en-GB"/>
        </w:rPr>
        <w:br/>
      </w:r>
      <w:r w:rsidR="00062E21" w:rsidRPr="0029410F">
        <w:rPr>
          <w:b/>
          <w:sz w:val="20"/>
          <w:lang w:val="en-GB" w:bidi="en-GB"/>
        </w:rPr>
        <w:t xml:space="preserve">Guidelines </w:t>
      </w:r>
      <w:r w:rsidR="00062E21" w:rsidRPr="0029410F">
        <w:rPr>
          <w:color w:val="FF0000"/>
          <w:sz w:val="20"/>
          <w:lang w:val="en-GB" w:bidi="en-GB"/>
        </w:rPr>
        <w:t>(delete in connection with the completion of the plan of action)</w:t>
      </w:r>
      <w:proofErr w:type="gramEnd"/>
    </w:p>
    <w:p w14:paraId="4F778EC5" w14:textId="742ED8AE" w:rsidR="0088199E" w:rsidRPr="0029410F" w:rsidRDefault="0088199E" w:rsidP="0088199E">
      <w:pPr>
        <w:rPr>
          <w:sz w:val="20"/>
          <w:highlight w:val="yellow"/>
          <w:lang w:val="en-GB" w:bidi="en-GB"/>
        </w:rPr>
      </w:pPr>
      <w:r w:rsidRPr="0029410F">
        <w:rPr>
          <w:sz w:val="20"/>
          <w:lang w:val="en-GB" w:bidi="en-GB"/>
        </w:rPr>
        <w:t xml:space="preserve">One plan of action must be drawn up for each degree programme – a plan of action for the Bachelor’s degree programme in </w:t>
      </w:r>
      <w:r w:rsidRPr="0029410F">
        <w:rPr>
          <w:sz w:val="20"/>
          <w:highlight w:val="yellow"/>
          <w:lang w:val="en-GB" w:bidi="en-GB"/>
        </w:rPr>
        <w:t>X</w:t>
      </w:r>
      <w:r w:rsidR="00B547F5" w:rsidRPr="0029410F">
        <w:rPr>
          <w:sz w:val="20"/>
          <w:highlight w:val="yellow"/>
          <w:lang w:val="en-GB" w:bidi="en-GB"/>
        </w:rPr>
        <w:t>X</w:t>
      </w:r>
      <w:r w:rsidRPr="0029410F">
        <w:rPr>
          <w:sz w:val="20"/>
          <w:highlight w:val="yellow"/>
          <w:lang w:val="en-GB" w:bidi="en-GB"/>
        </w:rPr>
        <w:t>X</w:t>
      </w:r>
      <w:r w:rsidRPr="0029410F">
        <w:rPr>
          <w:sz w:val="20"/>
          <w:lang w:val="en-GB" w:bidi="en-GB"/>
        </w:rPr>
        <w:t xml:space="preserve"> </w:t>
      </w:r>
      <w:r w:rsidRPr="0029410F">
        <w:rPr>
          <w:sz w:val="20"/>
          <w:u w:val="single"/>
          <w:lang w:val="en-GB" w:bidi="en-GB"/>
        </w:rPr>
        <w:t>AND</w:t>
      </w:r>
      <w:r w:rsidRPr="0029410F">
        <w:rPr>
          <w:sz w:val="20"/>
          <w:lang w:val="en-GB" w:bidi="en-GB"/>
        </w:rPr>
        <w:t xml:space="preserve"> a plan of action for the Master’s degree programme in </w:t>
      </w:r>
      <w:r w:rsidRPr="0029410F">
        <w:rPr>
          <w:sz w:val="20"/>
          <w:highlight w:val="yellow"/>
          <w:lang w:val="en-GB" w:bidi="en-GB"/>
        </w:rPr>
        <w:t>X</w:t>
      </w:r>
      <w:r w:rsidR="00B547F5" w:rsidRPr="0029410F">
        <w:rPr>
          <w:sz w:val="20"/>
          <w:highlight w:val="yellow"/>
          <w:lang w:val="en-GB" w:bidi="en-GB"/>
        </w:rPr>
        <w:t>X</w:t>
      </w:r>
      <w:r w:rsidRPr="0029410F">
        <w:rPr>
          <w:sz w:val="20"/>
          <w:highlight w:val="yellow"/>
          <w:lang w:val="en-GB" w:bidi="en-GB"/>
        </w:rPr>
        <w:t xml:space="preserve">X. </w:t>
      </w:r>
      <w:r w:rsidR="0020767D" w:rsidRPr="0029410F">
        <w:rPr>
          <w:sz w:val="20"/>
          <w:lang w:val="en-GB" w:bidi="en-GB"/>
        </w:rPr>
        <w:t>Based on</w:t>
      </w:r>
      <w:r w:rsidRPr="0029410F">
        <w:rPr>
          <w:sz w:val="20"/>
          <w:lang w:val="en-GB" w:bidi="en-GB"/>
        </w:rPr>
        <w:t xml:space="preserve"> discussions in the degree programme board, the head of department is </w:t>
      </w:r>
      <w:r w:rsidR="0020767D" w:rsidRPr="0029410F">
        <w:rPr>
          <w:sz w:val="20"/>
          <w:lang w:val="en-GB" w:bidi="en-GB"/>
        </w:rPr>
        <w:t xml:space="preserve">responsible </w:t>
      </w:r>
      <w:r w:rsidR="00B0168B" w:rsidRPr="0029410F">
        <w:rPr>
          <w:sz w:val="20"/>
          <w:lang w:val="en-GB" w:bidi="en-GB"/>
        </w:rPr>
        <w:t xml:space="preserve">for drawing </w:t>
      </w:r>
      <w:r w:rsidRPr="0029410F">
        <w:rPr>
          <w:sz w:val="20"/>
          <w:lang w:val="en-GB" w:bidi="en-GB"/>
        </w:rPr>
        <w:t xml:space="preserve">up a draft action plan, which </w:t>
      </w:r>
      <w:proofErr w:type="gramStart"/>
      <w:r w:rsidRPr="0029410F">
        <w:rPr>
          <w:sz w:val="20"/>
          <w:lang w:val="en-GB" w:bidi="en-GB"/>
        </w:rPr>
        <w:t>will be presented</w:t>
      </w:r>
      <w:proofErr w:type="gramEnd"/>
      <w:r w:rsidRPr="0029410F">
        <w:rPr>
          <w:sz w:val="20"/>
          <w:lang w:val="en-GB" w:bidi="en-GB"/>
        </w:rPr>
        <w:t xml:space="preserve"> at the next meeting of the</w:t>
      </w:r>
      <w:r w:rsidR="00853E10" w:rsidRPr="0029410F">
        <w:rPr>
          <w:sz w:val="20"/>
          <w:lang w:val="en-GB" w:bidi="en-GB"/>
        </w:rPr>
        <w:t xml:space="preserve"> degree programme board, for the </w:t>
      </w:r>
      <w:r w:rsidRPr="0029410F">
        <w:rPr>
          <w:sz w:val="20"/>
          <w:lang w:val="en-GB" w:bidi="en-GB"/>
        </w:rPr>
        <w:t xml:space="preserve">board's nomination to the </w:t>
      </w:r>
      <w:r w:rsidR="00853E10" w:rsidRPr="0029410F">
        <w:rPr>
          <w:sz w:val="20"/>
          <w:lang w:val="en-GB" w:bidi="en-GB"/>
        </w:rPr>
        <w:t>Board of Studies.</w:t>
      </w:r>
    </w:p>
    <w:p w14:paraId="00F7F035" w14:textId="15416B93" w:rsidR="0088199E" w:rsidRPr="0029410F" w:rsidRDefault="0088199E" w:rsidP="0088199E">
      <w:pPr>
        <w:rPr>
          <w:sz w:val="20"/>
          <w:lang w:val="en-GB" w:bidi="en-GB"/>
        </w:rPr>
      </w:pPr>
      <w:r w:rsidRPr="0029410F">
        <w:rPr>
          <w:sz w:val="20"/>
          <w:lang w:val="en-GB" w:bidi="en-GB"/>
        </w:rPr>
        <w:t xml:space="preserve">In </w:t>
      </w:r>
      <w:proofErr w:type="gramStart"/>
      <w:r w:rsidRPr="0029410F">
        <w:rPr>
          <w:sz w:val="20"/>
          <w:lang w:val="en-GB" w:bidi="en-GB"/>
        </w:rPr>
        <w:t>general</w:t>
      </w:r>
      <w:proofErr w:type="gramEnd"/>
      <w:r w:rsidRPr="0029410F">
        <w:rPr>
          <w:sz w:val="20"/>
          <w:lang w:val="en-GB" w:bidi="en-GB"/>
        </w:rPr>
        <w:t xml:space="preserve"> terms, the main thing is to be realistic. It must be possible to assess the status of the actions described in the plan of action in connection with the subsequent annual status review.</w:t>
      </w:r>
      <w:r w:rsidRPr="0029410F">
        <w:rPr>
          <w:sz w:val="20"/>
          <w:lang w:val="en-GB"/>
        </w:rPr>
        <w:t xml:space="preserve"> </w:t>
      </w:r>
      <w:r w:rsidRPr="0029410F">
        <w:rPr>
          <w:sz w:val="20"/>
          <w:lang w:val="en-GB" w:bidi="en-GB"/>
        </w:rPr>
        <w:t xml:space="preserve">It is not a requirement that a prioritised action </w:t>
      </w:r>
      <w:proofErr w:type="gramStart"/>
      <w:r w:rsidRPr="0029410F">
        <w:rPr>
          <w:sz w:val="20"/>
          <w:lang w:val="en-GB" w:bidi="en-GB"/>
        </w:rPr>
        <w:t>should be completed</w:t>
      </w:r>
      <w:proofErr w:type="gramEnd"/>
      <w:r w:rsidRPr="0029410F">
        <w:rPr>
          <w:sz w:val="20"/>
          <w:lang w:val="en-GB" w:bidi="en-GB"/>
        </w:rPr>
        <w:t xml:space="preserve"> in one year, </w:t>
      </w:r>
      <w:r w:rsidR="00B0168B" w:rsidRPr="0029410F">
        <w:rPr>
          <w:sz w:val="20"/>
          <w:lang w:val="en-GB" w:bidi="en-GB"/>
        </w:rPr>
        <w:t xml:space="preserve">but </w:t>
      </w:r>
      <w:r w:rsidRPr="0029410F">
        <w:rPr>
          <w:sz w:val="20"/>
          <w:lang w:val="en-GB" w:bidi="en-GB"/>
        </w:rPr>
        <w:t xml:space="preserve">the process involved must have been arranged. </w:t>
      </w:r>
      <w:proofErr w:type="gramStart"/>
      <w:r w:rsidRPr="0029410F">
        <w:rPr>
          <w:sz w:val="20"/>
          <w:lang w:val="en-GB" w:bidi="en-GB"/>
        </w:rPr>
        <w:t>Actions which</w:t>
      </w:r>
      <w:proofErr w:type="gramEnd"/>
      <w:r w:rsidRPr="0029410F">
        <w:rPr>
          <w:sz w:val="20"/>
          <w:lang w:val="en-GB" w:bidi="en-GB"/>
        </w:rPr>
        <w:t xml:space="preserve"> have not been completed within the past year, and any derivative actions</w:t>
      </w:r>
      <w:r w:rsidR="00B0168B" w:rsidRPr="0029410F">
        <w:rPr>
          <w:sz w:val="20"/>
          <w:lang w:val="en-GB" w:bidi="en-GB"/>
        </w:rPr>
        <w:t>,</w:t>
      </w:r>
      <w:r w:rsidRPr="0029410F">
        <w:rPr>
          <w:sz w:val="20"/>
          <w:lang w:val="en-GB" w:bidi="en-GB"/>
        </w:rPr>
        <w:t xml:space="preserve"> should be transferred to the current year's action plans. Furthermore, it is by no means certain that action is required in all the sub-policy areas. If there are any sub-policies that are not relevant for the degree programme in question, please write “No comment” in the column marked “Challenges in the 202</w:t>
      </w:r>
      <w:r w:rsidR="0029410F" w:rsidRPr="0029410F">
        <w:rPr>
          <w:sz w:val="20"/>
          <w:lang w:val="en-GB" w:bidi="en-GB"/>
        </w:rPr>
        <w:t>1</w:t>
      </w:r>
      <w:r w:rsidRPr="0029410F">
        <w:rPr>
          <w:sz w:val="20"/>
          <w:lang w:val="en-GB" w:bidi="en-GB"/>
        </w:rPr>
        <w:t xml:space="preserve"> quality year”. On the other hand, there may also be several challenges within a single area of sub-policy, or several actions may be associated with the same challenge. In such cases, please list several challenges in the same field.</w:t>
      </w:r>
    </w:p>
    <w:p w14:paraId="42C6E36A" w14:textId="6E684E0E" w:rsidR="0088199E" w:rsidRPr="0029410F" w:rsidRDefault="0088199E" w:rsidP="0088199E">
      <w:pPr>
        <w:rPr>
          <w:sz w:val="20"/>
          <w:lang w:val="en-GB" w:bidi="en-GB"/>
        </w:rPr>
      </w:pPr>
      <w:r w:rsidRPr="0029410F">
        <w:rPr>
          <w:sz w:val="20"/>
          <w:lang w:val="en-GB" w:bidi="en-GB"/>
        </w:rPr>
        <w:t xml:space="preserve">The </w:t>
      </w:r>
      <w:r w:rsidRPr="0029410F">
        <w:rPr>
          <w:b/>
          <w:sz w:val="20"/>
          <w:lang w:val="en-GB" w:bidi="en-GB"/>
        </w:rPr>
        <w:t>Status</w:t>
      </w:r>
      <w:r w:rsidRPr="0029410F">
        <w:rPr>
          <w:sz w:val="20"/>
          <w:lang w:val="en-GB" w:bidi="en-GB"/>
        </w:rPr>
        <w:t xml:space="preserve"> box the status of completed actions from the latest quality year are stated. Any unfinished and derived actions </w:t>
      </w:r>
      <w:proofErr w:type="gramStart"/>
      <w:r w:rsidRPr="0029410F">
        <w:rPr>
          <w:sz w:val="20"/>
          <w:lang w:val="en-GB" w:bidi="en-GB"/>
        </w:rPr>
        <w:t>are brought</w:t>
      </w:r>
      <w:proofErr w:type="gramEnd"/>
      <w:r w:rsidRPr="0029410F">
        <w:rPr>
          <w:sz w:val="20"/>
          <w:lang w:val="en-GB" w:bidi="en-GB"/>
        </w:rPr>
        <w:t xml:space="preserve"> into the action plan for 202</w:t>
      </w:r>
      <w:r w:rsidR="0029410F" w:rsidRPr="0029410F">
        <w:rPr>
          <w:sz w:val="20"/>
          <w:lang w:val="en-GB" w:bidi="en-GB"/>
        </w:rPr>
        <w:t>2</w:t>
      </w:r>
    </w:p>
    <w:p w14:paraId="630F4242" w14:textId="10B11C77" w:rsidR="0088199E" w:rsidRPr="0029410F" w:rsidRDefault="0088199E" w:rsidP="0088199E">
      <w:pPr>
        <w:rPr>
          <w:sz w:val="20"/>
          <w:lang w:val="en-GB" w:bidi="en-GB"/>
        </w:rPr>
      </w:pPr>
      <w:r w:rsidRPr="0029410F">
        <w:rPr>
          <w:sz w:val="20"/>
          <w:lang w:val="en-GB" w:bidi="en-GB"/>
        </w:rPr>
        <w:t xml:space="preserve">Please describe the </w:t>
      </w:r>
      <w:r w:rsidRPr="0029410F">
        <w:rPr>
          <w:i/>
          <w:sz w:val="20"/>
          <w:lang w:val="en-GB" w:bidi="en-GB"/>
        </w:rPr>
        <w:t xml:space="preserve">specific </w:t>
      </w:r>
      <w:r w:rsidRPr="0029410F">
        <w:rPr>
          <w:sz w:val="20"/>
          <w:lang w:val="en-GB" w:bidi="en-GB"/>
        </w:rPr>
        <w:t xml:space="preserve">issue requiring action briefly under </w:t>
      </w:r>
      <w:r w:rsidR="00D23C69" w:rsidRPr="0029410F">
        <w:rPr>
          <w:b/>
          <w:sz w:val="20"/>
          <w:lang w:val="en-GB" w:bidi="en-GB"/>
        </w:rPr>
        <w:t>Challenges in the 20</w:t>
      </w:r>
      <w:r w:rsidR="00B547F5" w:rsidRPr="0029410F">
        <w:rPr>
          <w:b/>
          <w:sz w:val="20"/>
          <w:lang w:val="en-GB" w:bidi="en-GB"/>
        </w:rPr>
        <w:t>2</w:t>
      </w:r>
      <w:r w:rsidR="0029410F" w:rsidRPr="0029410F">
        <w:rPr>
          <w:b/>
          <w:sz w:val="20"/>
          <w:lang w:val="en-GB" w:bidi="en-GB"/>
        </w:rPr>
        <w:t>2</w:t>
      </w:r>
      <w:r w:rsidR="00D23C69" w:rsidRPr="0029410F">
        <w:rPr>
          <w:b/>
          <w:sz w:val="20"/>
          <w:lang w:val="en-GB" w:bidi="en-GB"/>
        </w:rPr>
        <w:t xml:space="preserve"> </w:t>
      </w:r>
      <w:r w:rsidRPr="0029410F">
        <w:rPr>
          <w:b/>
          <w:sz w:val="20"/>
          <w:lang w:val="en-GB" w:bidi="en-GB"/>
        </w:rPr>
        <w:t>quality year</w:t>
      </w:r>
      <w:r w:rsidRPr="0029410F">
        <w:rPr>
          <w:sz w:val="20"/>
          <w:lang w:val="en-GB" w:bidi="en-GB"/>
        </w:rPr>
        <w:t xml:space="preserve">. Challenges often relate to more than one of the sub-policy areas listed in the first column. In such cases, please list such challenges under the most relevant sub-policy. The same challenge may also apply to several indicators. So when describing each challenge, please state all the indicators it relates </w:t>
      </w:r>
      <w:proofErr w:type="gramStart"/>
      <w:r w:rsidRPr="0029410F">
        <w:rPr>
          <w:sz w:val="20"/>
          <w:lang w:val="en-GB" w:bidi="en-GB"/>
        </w:rPr>
        <w:t>to</w:t>
      </w:r>
      <w:proofErr w:type="gramEnd"/>
      <w:r w:rsidRPr="0029410F">
        <w:rPr>
          <w:sz w:val="20"/>
          <w:lang w:val="en-GB" w:bidi="en-GB"/>
        </w:rPr>
        <w:t xml:space="preserve">. Please indicate the status of actions that </w:t>
      </w:r>
      <w:proofErr w:type="gramStart"/>
      <w:r w:rsidRPr="0029410F">
        <w:rPr>
          <w:sz w:val="20"/>
          <w:lang w:val="en-GB" w:bidi="en-GB"/>
        </w:rPr>
        <w:t>were launched</w:t>
      </w:r>
      <w:proofErr w:type="gramEnd"/>
      <w:r w:rsidRPr="0029410F">
        <w:rPr>
          <w:sz w:val="20"/>
          <w:lang w:val="en-GB" w:bidi="en-GB"/>
        </w:rPr>
        <w:t xml:space="preserve"> in the previous year and are still active.</w:t>
      </w:r>
    </w:p>
    <w:p w14:paraId="5B6DC0BB" w14:textId="5EF43371" w:rsidR="0088199E" w:rsidRPr="0029410F" w:rsidRDefault="0088199E" w:rsidP="0088199E">
      <w:pPr>
        <w:rPr>
          <w:sz w:val="20"/>
          <w:lang w:val="en-GB"/>
        </w:rPr>
      </w:pPr>
      <w:r w:rsidRPr="0029410F">
        <w:rPr>
          <w:sz w:val="20"/>
          <w:lang w:val="en-GB" w:bidi="en-GB"/>
        </w:rPr>
        <w:t xml:space="preserve">Please state the actions launched to address the </w:t>
      </w:r>
      <w:r w:rsidR="0094045D" w:rsidRPr="0029410F">
        <w:rPr>
          <w:sz w:val="20"/>
          <w:lang w:val="en-GB" w:bidi="en-GB"/>
        </w:rPr>
        <w:t xml:space="preserve">challenges listed </w:t>
      </w:r>
      <w:r w:rsidRPr="0029410F">
        <w:rPr>
          <w:sz w:val="20"/>
          <w:lang w:val="en-GB" w:bidi="en-GB"/>
        </w:rPr>
        <w:t xml:space="preserve">under </w:t>
      </w:r>
      <w:r w:rsidRPr="0029410F">
        <w:rPr>
          <w:b/>
          <w:sz w:val="20"/>
          <w:lang w:val="en-GB" w:bidi="en-GB"/>
        </w:rPr>
        <w:t>Challenges and follow-up</w:t>
      </w:r>
      <w:r w:rsidRPr="0029410F">
        <w:rPr>
          <w:sz w:val="20"/>
          <w:lang w:val="en-GB" w:bidi="en-GB"/>
        </w:rPr>
        <w:t xml:space="preserve">. These should be </w:t>
      </w:r>
      <w:r w:rsidRPr="0029410F">
        <w:rPr>
          <w:i/>
          <w:sz w:val="20"/>
          <w:lang w:val="en-GB" w:bidi="en-GB"/>
        </w:rPr>
        <w:t xml:space="preserve">measurable, well defined </w:t>
      </w:r>
      <w:r w:rsidRPr="0029410F">
        <w:rPr>
          <w:sz w:val="20"/>
          <w:lang w:val="en-GB" w:bidi="en-GB"/>
        </w:rPr>
        <w:t xml:space="preserve">and </w:t>
      </w:r>
      <w:r w:rsidRPr="0029410F">
        <w:rPr>
          <w:i/>
          <w:sz w:val="20"/>
          <w:lang w:val="en-GB" w:bidi="en-GB"/>
        </w:rPr>
        <w:t>realistic</w:t>
      </w:r>
      <w:r w:rsidRPr="0029410F">
        <w:rPr>
          <w:sz w:val="20"/>
          <w:lang w:val="en-GB" w:bidi="en-GB"/>
        </w:rPr>
        <w:t xml:space="preserve">. </w:t>
      </w:r>
      <w:proofErr w:type="gramStart"/>
      <w:r w:rsidRPr="0029410F">
        <w:rPr>
          <w:sz w:val="20"/>
          <w:lang w:val="en-GB" w:bidi="en-GB"/>
        </w:rPr>
        <w:t>It’s</w:t>
      </w:r>
      <w:proofErr w:type="gramEnd"/>
      <w:r w:rsidRPr="0029410F">
        <w:rPr>
          <w:sz w:val="20"/>
          <w:lang w:val="en-GB" w:bidi="en-GB"/>
        </w:rPr>
        <w:t xml:space="preserve"> all about being as specific as possible when describing follow-up for the issue in question.</w:t>
      </w:r>
    </w:p>
    <w:p w14:paraId="1C87AF36" w14:textId="77777777" w:rsidR="0088199E" w:rsidRPr="0029410F" w:rsidRDefault="0088199E" w:rsidP="0088199E">
      <w:pPr>
        <w:rPr>
          <w:sz w:val="20"/>
          <w:lang w:val="en-GB"/>
        </w:rPr>
      </w:pPr>
      <w:r w:rsidRPr="0029410F">
        <w:rPr>
          <w:sz w:val="20"/>
          <w:lang w:val="en-GB" w:bidi="en-GB"/>
        </w:rPr>
        <w:t xml:space="preserve">Please state the </w:t>
      </w:r>
      <w:r w:rsidRPr="0029410F">
        <w:rPr>
          <w:i/>
          <w:sz w:val="20"/>
          <w:lang w:val="en-GB" w:bidi="en-GB"/>
        </w:rPr>
        <w:t xml:space="preserve">primary actor responsible for carrying out the action in question </w:t>
      </w:r>
      <w:r w:rsidRPr="0029410F">
        <w:rPr>
          <w:sz w:val="20"/>
          <w:lang w:val="en-GB" w:bidi="en-GB"/>
        </w:rPr>
        <w:t xml:space="preserve">under </w:t>
      </w:r>
      <w:r w:rsidRPr="0029410F">
        <w:rPr>
          <w:b/>
          <w:sz w:val="20"/>
          <w:lang w:val="en-GB" w:bidi="en-GB"/>
        </w:rPr>
        <w:t>Responsibility</w:t>
      </w:r>
      <w:r w:rsidRPr="0029410F">
        <w:rPr>
          <w:sz w:val="20"/>
          <w:lang w:val="en-GB" w:bidi="en-GB"/>
        </w:rPr>
        <w:t>. In many cases, several actors will be involved. If this is the case, the primary actor is responsible for ensuring that all the actors carry out the activity stated.</w:t>
      </w:r>
    </w:p>
    <w:p w14:paraId="1C5965F7" w14:textId="77777777" w:rsidR="0088199E" w:rsidRPr="0029410F" w:rsidRDefault="0088199E" w:rsidP="0088199E">
      <w:pPr>
        <w:rPr>
          <w:sz w:val="20"/>
          <w:lang w:val="en-GB"/>
        </w:rPr>
      </w:pPr>
      <w:r w:rsidRPr="0029410F">
        <w:rPr>
          <w:sz w:val="20"/>
          <w:lang w:val="en-GB" w:bidi="en-GB"/>
        </w:rPr>
        <w:t xml:space="preserve">Please state the time at which you expect the specific action to </w:t>
      </w:r>
      <w:proofErr w:type="gramStart"/>
      <w:r w:rsidRPr="0029410F">
        <w:rPr>
          <w:sz w:val="20"/>
          <w:lang w:val="en-GB" w:bidi="en-GB"/>
        </w:rPr>
        <w:t>have been completed</w:t>
      </w:r>
      <w:proofErr w:type="gramEnd"/>
      <w:r w:rsidRPr="0029410F">
        <w:rPr>
          <w:sz w:val="20"/>
          <w:lang w:val="en-GB" w:bidi="en-GB"/>
        </w:rPr>
        <w:t xml:space="preserve"> under </w:t>
      </w:r>
      <w:r w:rsidRPr="0029410F">
        <w:rPr>
          <w:b/>
          <w:sz w:val="20"/>
          <w:lang w:val="en-GB" w:bidi="en-GB"/>
        </w:rPr>
        <w:t>Deadline</w:t>
      </w:r>
      <w:r w:rsidRPr="0029410F">
        <w:rPr>
          <w:sz w:val="20"/>
          <w:lang w:val="en-GB" w:bidi="en-GB"/>
        </w:rPr>
        <w:t xml:space="preserve">. This ensures that a time limit </w:t>
      </w:r>
      <w:proofErr w:type="gramStart"/>
      <w:r w:rsidRPr="0029410F">
        <w:rPr>
          <w:sz w:val="20"/>
          <w:lang w:val="en-GB" w:bidi="en-GB"/>
        </w:rPr>
        <w:t>is always stated</w:t>
      </w:r>
      <w:proofErr w:type="gramEnd"/>
      <w:r w:rsidRPr="0029410F">
        <w:rPr>
          <w:sz w:val="20"/>
          <w:lang w:val="en-GB" w:bidi="en-GB"/>
        </w:rPr>
        <w:t xml:space="preserve"> for specific actions.</w:t>
      </w:r>
    </w:p>
    <w:tbl>
      <w:tblPr>
        <w:tblStyle w:val="Tabel-Gitter"/>
        <w:tblW w:w="0" w:type="auto"/>
        <w:tblLook w:val="04A0" w:firstRow="1" w:lastRow="0" w:firstColumn="1" w:lastColumn="0" w:noHBand="0" w:noVBand="1"/>
      </w:tblPr>
      <w:tblGrid>
        <w:gridCol w:w="13948"/>
      </w:tblGrid>
      <w:tr w:rsidR="00986B7D" w:rsidRPr="00F23087" w14:paraId="664272BA" w14:textId="77777777" w:rsidTr="000C5D66">
        <w:tc>
          <w:tcPr>
            <w:tcW w:w="13948" w:type="dxa"/>
            <w:shd w:val="clear" w:color="auto" w:fill="E2EFD9" w:themeFill="accent6" w:themeFillTint="33"/>
          </w:tcPr>
          <w:p w14:paraId="01505483" w14:textId="77777777" w:rsidR="00B1301E" w:rsidRDefault="00583370" w:rsidP="00583370">
            <w:pPr>
              <w:rPr>
                <w:lang w:val="en-GB" w:bidi="en-GB"/>
              </w:rPr>
            </w:pPr>
            <w:r w:rsidRPr="004A5D71">
              <w:rPr>
                <w:b/>
                <w:lang w:val="en-GB" w:bidi="en-GB"/>
              </w:rPr>
              <w:t>Status of completed actions from the last quality year</w:t>
            </w:r>
            <w:r>
              <w:rPr>
                <w:lang w:val="en-GB" w:bidi="en-GB"/>
              </w:rPr>
              <w:t xml:space="preserve"> </w:t>
            </w:r>
          </w:p>
          <w:p w14:paraId="24D329C9" w14:textId="7F0E3792" w:rsidR="00583370" w:rsidRPr="00B1301E" w:rsidRDefault="00B1301E" w:rsidP="00B1301E">
            <w:pPr>
              <w:rPr>
                <w:lang w:val="en-GB" w:bidi="en-GB"/>
              </w:rPr>
            </w:pPr>
            <w:r>
              <w:rPr>
                <w:lang w:val="en-GB" w:bidi="en-GB"/>
              </w:rPr>
              <w:t>- b</w:t>
            </w:r>
            <w:r w:rsidR="00583370" w:rsidRPr="00B1301E">
              <w:rPr>
                <w:lang w:val="en-GB" w:bidi="en-GB"/>
              </w:rPr>
              <w:t>rief description of the challenge, action taken and follow-up, and the specific result of the action in question):</w:t>
            </w:r>
          </w:p>
          <w:p w14:paraId="21097E98" w14:textId="44C270F2" w:rsidR="00986B7D" w:rsidRPr="00BC5ACB" w:rsidRDefault="00B1301E" w:rsidP="00583370">
            <w:pPr>
              <w:rPr>
                <w:lang w:val="en-US"/>
              </w:rPr>
            </w:pPr>
            <w:r>
              <w:rPr>
                <w:lang w:val="en-GB"/>
              </w:rPr>
              <w:br/>
            </w:r>
            <w:r w:rsidR="00583370" w:rsidRPr="00D752C5">
              <w:rPr>
                <w:lang w:val="en-GB"/>
              </w:rPr>
              <w:t xml:space="preserve">Degree programme </w:t>
            </w:r>
            <w:r w:rsidR="00583370" w:rsidRPr="00B1301E">
              <w:rPr>
                <w:highlight w:val="yellow"/>
                <w:lang w:val="en-GB"/>
              </w:rPr>
              <w:t>X</w:t>
            </w:r>
            <w:r w:rsidRPr="00B1301E">
              <w:rPr>
                <w:highlight w:val="yellow"/>
                <w:lang w:val="en-GB"/>
              </w:rPr>
              <w:t>X</w:t>
            </w:r>
            <w:r w:rsidR="00583370" w:rsidRPr="00B1301E">
              <w:rPr>
                <w:highlight w:val="yellow"/>
                <w:lang w:val="en-GB"/>
              </w:rPr>
              <w:t>X</w:t>
            </w:r>
            <w:r w:rsidR="00583370" w:rsidRPr="00D752C5">
              <w:rPr>
                <w:lang w:val="en-GB"/>
              </w:rPr>
              <w:t xml:space="preserve">: Action </w:t>
            </w:r>
            <w:r w:rsidR="00583370" w:rsidRPr="00B1301E">
              <w:rPr>
                <w:highlight w:val="yellow"/>
                <w:lang w:val="en-GB"/>
              </w:rPr>
              <w:t>X</w:t>
            </w:r>
            <w:r w:rsidRPr="00B1301E">
              <w:rPr>
                <w:highlight w:val="yellow"/>
                <w:lang w:val="en-GB"/>
              </w:rPr>
              <w:t>X</w:t>
            </w:r>
            <w:r w:rsidR="00583370" w:rsidRPr="00B1301E">
              <w:rPr>
                <w:highlight w:val="yellow"/>
                <w:lang w:val="en-GB"/>
              </w:rPr>
              <w:t>X</w:t>
            </w:r>
          </w:p>
          <w:p w14:paraId="57D6C860" w14:textId="16C09331" w:rsidR="00986B7D" w:rsidRPr="00062E21" w:rsidRDefault="00B1301E" w:rsidP="00986B7D">
            <w:pPr>
              <w:rPr>
                <w:lang w:val="en-US"/>
              </w:rPr>
            </w:pPr>
            <w:r>
              <w:rPr>
                <w:lang w:val="en-US"/>
              </w:rPr>
              <w:t>…</w:t>
            </w:r>
          </w:p>
          <w:p w14:paraId="65D1FAE4" w14:textId="77777777" w:rsidR="00986B7D" w:rsidRPr="00062E21" w:rsidRDefault="00986B7D" w:rsidP="00986B7D">
            <w:pPr>
              <w:rPr>
                <w:lang w:val="en-US"/>
              </w:rPr>
            </w:pPr>
          </w:p>
          <w:p w14:paraId="4392EBDF" w14:textId="77777777" w:rsidR="00986B7D" w:rsidRPr="00062E21" w:rsidRDefault="00986B7D" w:rsidP="00986B7D">
            <w:pPr>
              <w:rPr>
                <w:lang w:val="en-US"/>
              </w:rPr>
            </w:pPr>
          </w:p>
          <w:p w14:paraId="766FAB31" w14:textId="77777777" w:rsidR="005A6B49" w:rsidRPr="00062E21" w:rsidRDefault="005A6B49" w:rsidP="00986B7D">
            <w:pPr>
              <w:rPr>
                <w:lang w:val="en-US"/>
              </w:rPr>
            </w:pPr>
          </w:p>
          <w:p w14:paraId="35076732" w14:textId="77777777" w:rsidR="005A6B49" w:rsidRPr="00062E21" w:rsidRDefault="005A6B49" w:rsidP="00986B7D">
            <w:pPr>
              <w:rPr>
                <w:lang w:val="en-US"/>
              </w:rPr>
            </w:pPr>
          </w:p>
          <w:p w14:paraId="780EAE52" w14:textId="77777777" w:rsidR="005A6B49" w:rsidRPr="00062E21" w:rsidRDefault="005A6B49" w:rsidP="00986B7D">
            <w:pPr>
              <w:rPr>
                <w:lang w:val="en-US"/>
              </w:rPr>
            </w:pPr>
          </w:p>
        </w:tc>
      </w:tr>
    </w:tbl>
    <w:p w14:paraId="1E383BFD" w14:textId="77777777" w:rsidR="00986B7D" w:rsidRPr="00062E21" w:rsidRDefault="00986B7D" w:rsidP="00986B7D">
      <w:pPr>
        <w:rPr>
          <w:lang w:val="en-US"/>
        </w:rPr>
      </w:pPr>
    </w:p>
    <w:tbl>
      <w:tblPr>
        <w:tblStyle w:val="Tabel-Gitter"/>
        <w:tblW w:w="0" w:type="auto"/>
        <w:tblLook w:val="04A0" w:firstRow="1" w:lastRow="0" w:firstColumn="1" w:lastColumn="0" w:noHBand="0" w:noVBand="1"/>
      </w:tblPr>
      <w:tblGrid>
        <w:gridCol w:w="1980"/>
        <w:gridCol w:w="3598"/>
        <w:gridCol w:w="4482"/>
        <w:gridCol w:w="1984"/>
        <w:gridCol w:w="1904"/>
      </w:tblGrid>
      <w:tr w:rsidR="005A6B49" w14:paraId="0383505E" w14:textId="77777777" w:rsidTr="000C5D66">
        <w:tc>
          <w:tcPr>
            <w:tcW w:w="1980" w:type="dxa"/>
            <w:shd w:val="clear" w:color="auto" w:fill="C5E0B3" w:themeFill="accent6" w:themeFillTint="66"/>
          </w:tcPr>
          <w:p w14:paraId="6E621A65" w14:textId="0423AD15" w:rsidR="005A6B49" w:rsidRPr="005A6B49" w:rsidRDefault="00583370" w:rsidP="00986B7D">
            <w:pPr>
              <w:rPr>
                <w:b/>
              </w:rPr>
            </w:pPr>
            <w:r>
              <w:rPr>
                <w:b/>
              </w:rPr>
              <w:t xml:space="preserve">Sub-policy </w:t>
            </w:r>
            <w:r w:rsidR="005A6B49">
              <w:rPr>
                <w:b/>
              </w:rPr>
              <w:t>1</w:t>
            </w:r>
          </w:p>
        </w:tc>
        <w:tc>
          <w:tcPr>
            <w:tcW w:w="3598" w:type="dxa"/>
            <w:shd w:val="clear" w:color="auto" w:fill="C5E0B3" w:themeFill="accent6" w:themeFillTint="66"/>
          </w:tcPr>
          <w:p w14:paraId="449B8B74" w14:textId="3CAC06A0" w:rsidR="005A6B49" w:rsidRPr="004A5D71" w:rsidRDefault="00C624C0" w:rsidP="0029410F">
            <w:pPr>
              <w:rPr>
                <w:b/>
                <w:lang w:val="en-GB"/>
              </w:rPr>
            </w:pPr>
            <w:r w:rsidRPr="004A5D71">
              <w:rPr>
                <w:b/>
                <w:lang w:val="en-GB" w:bidi="en-GB"/>
              </w:rPr>
              <w:t>Challenge(s) in the 20</w:t>
            </w:r>
            <w:r w:rsidR="00B547F5">
              <w:rPr>
                <w:b/>
                <w:lang w:val="en-GB" w:bidi="en-GB"/>
              </w:rPr>
              <w:t>2</w:t>
            </w:r>
            <w:r w:rsidR="0029410F">
              <w:rPr>
                <w:b/>
                <w:lang w:val="en-GB" w:bidi="en-GB"/>
              </w:rPr>
              <w:t>2</w:t>
            </w:r>
            <w:r w:rsidRPr="004A5D71">
              <w:rPr>
                <w:b/>
                <w:lang w:val="en-GB" w:bidi="en-GB"/>
              </w:rPr>
              <w:t xml:space="preserve"> quality year</w:t>
            </w:r>
          </w:p>
        </w:tc>
        <w:tc>
          <w:tcPr>
            <w:tcW w:w="4482" w:type="dxa"/>
            <w:shd w:val="clear" w:color="auto" w:fill="C5E0B3" w:themeFill="accent6" w:themeFillTint="66"/>
          </w:tcPr>
          <w:p w14:paraId="1E41B73C" w14:textId="04349B95" w:rsidR="005A6B49" w:rsidRPr="004A5D71" w:rsidRDefault="00C624C0" w:rsidP="00986B7D">
            <w:pPr>
              <w:rPr>
                <w:b/>
                <w:lang w:val="en-GB"/>
              </w:rPr>
            </w:pPr>
            <w:r w:rsidRPr="004A5D71">
              <w:rPr>
                <w:b/>
                <w:lang w:val="en-GB" w:bidi="en-GB"/>
              </w:rPr>
              <w:t>Challenge and follow-up (Ongoing and new actions)</w:t>
            </w:r>
          </w:p>
        </w:tc>
        <w:tc>
          <w:tcPr>
            <w:tcW w:w="1984" w:type="dxa"/>
            <w:shd w:val="clear" w:color="auto" w:fill="C5E0B3" w:themeFill="accent6" w:themeFillTint="66"/>
          </w:tcPr>
          <w:p w14:paraId="5A1F4752" w14:textId="71414D89" w:rsidR="005A6B49" w:rsidRPr="004A5D71" w:rsidRDefault="00C624C0" w:rsidP="00986B7D">
            <w:pPr>
              <w:rPr>
                <w:b/>
              </w:rPr>
            </w:pPr>
            <w:r w:rsidRPr="004A5D71">
              <w:rPr>
                <w:b/>
                <w:lang w:val="en-GB" w:bidi="en-GB"/>
              </w:rPr>
              <w:t>Responsibility</w:t>
            </w:r>
            <w:r w:rsidRPr="004A5D71" w:rsidDel="00C624C0">
              <w:rPr>
                <w:b/>
              </w:rPr>
              <w:t xml:space="preserve"> </w:t>
            </w:r>
          </w:p>
        </w:tc>
        <w:tc>
          <w:tcPr>
            <w:tcW w:w="1904" w:type="dxa"/>
            <w:shd w:val="clear" w:color="auto" w:fill="C5E0B3" w:themeFill="accent6" w:themeFillTint="66"/>
          </w:tcPr>
          <w:p w14:paraId="7CFFFC69" w14:textId="714879A0" w:rsidR="005A6B49" w:rsidRPr="004A5D71" w:rsidRDefault="00C624C0" w:rsidP="00986B7D">
            <w:pPr>
              <w:rPr>
                <w:b/>
              </w:rPr>
            </w:pPr>
            <w:r w:rsidRPr="004A5D71">
              <w:rPr>
                <w:b/>
                <w:lang w:val="en-GB" w:bidi="en-GB"/>
              </w:rPr>
              <w:t>Deadline</w:t>
            </w:r>
          </w:p>
        </w:tc>
      </w:tr>
      <w:tr w:rsidR="005A6B49" w:rsidRPr="00F23087" w14:paraId="6DB1D315" w14:textId="77777777" w:rsidTr="005A6B49">
        <w:tc>
          <w:tcPr>
            <w:tcW w:w="1980" w:type="dxa"/>
          </w:tcPr>
          <w:p w14:paraId="532D11CB" w14:textId="2C762B84" w:rsidR="005A6B49" w:rsidRPr="00066787" w:rsidRDefault="00F23087" w:rsidP="00FE0185">
            <w:pPr>
              <w:rPr>
                <w:lang w:val="en-GB"/>
              </w:rPr>
            </w:pPr>
            <w:hyperlink r:id="rId6" w:history="1">
              <w:r w:rsidR="00066787" w:rsidRPr="00F23087">
                <w:rPr>
                  <w:rStyle w:val="Hyperlink"/>
                  <w:b/>
                  <w:lang w:val="en-GB"/>
                </w:rPr>
                <w:t>Getting students off to a good start</w:t>
              </w:r>
            </w:hyperlink>
          </w:p>
        </w:tc>
        <w:tc>
          <w:tcPr>
            <w:tcW w:w="3598" w:type="dxa"/>
          </w:tcPr>
          <w:p w14:paraId="031086D2" w14:textId="77777777" w:rsidR="005A6B49" w:rsidRPr="00066787" w:rsidRDefault="005A6B49" w:rsidP="00986B7D">
            <w:pPr>
              <w:rPr>
                <w:lang w:val="en-US"/>
              </w:rPr>
            </w:pPr>
          </w:p>
        </w:tc>
        <w:tc>
          <w:tcPr>
            <w:tcW w:w="4482" w:type="dxa"/>
          </w:tcPr>
          <w:p w14:paraId="2C10D33F" w14:textId="77777777" w:rsidR="005A6B49" w:rsidRPr="00066787" w:rsidRDefault="005A6B49" w:rsidP="00986B7D">
            <w:pPr>
              <w:rPr>
                <w:lang w:val="en-US"/>
              </w:rPr>
            </w:pPr>
          </w:p>
        </w:tc>
        <w:tc>
          <w:tcPr>
            <w:tcW w:w="1984" w:type="dxa"/>
          </w:tcPr>
          <w:p w14:paraId="1C84F122" w14:textId="77777777" w:rsidR="005A6B49" w:rsidRPr="00066787" w:rsidRDefault="005A6B49" w:rsidP="00986B7D">
            <w:pPr>
              <w:rPr>
                <w:lang w:val="en-US"/>
              </w:rPr>
            </w:pPr>
          </w:p>
        </w:tc>
        <w:tc>
          <w:tcPr>
            <w:tcW w:w="1904" w:type="dxa"/>
          </w:tcPr>
          <w:p w14:paraId="33235648" w14:textId="77777777" w:rsidR="005A6B49" w:rsidRPr="00066787" w:rsidRDefault="005A6B49" w:rsidP="00986B7D">
            <w:pPr>
              <w:rPr>
                <w:lang w:val="en-US"/>
              </w:rPr>
            </w:pPr>
          </w:p>
        </w:tc>
      </w:tr>
    </w:tbl>
    <w:p w14:paraId="59FBBF0B" w14:textId="77777777" w:rsidR="005A6B49" w:rsidRPr="00066787" w:rsidRDefault="005A6B49" w:rsidP="00986B7D">
      <w:pPr>
        <w:rPr>
          <w:lang w:val="en-US"/>
        </w:rPr>
      </w:pPr>
    </w:p>
    <w:tbl>
      <w:tblPr>
        <w:tblStyle w:val="Tabel-Gitter"/>
        <w:tblW w:w="0" w:type="auto"/>
        <w:tblLook w:val="04A0" w:firstRow="1" w:lastRow="0" w:firstColumn="1" w:lastColumn="0" w:noHBand="0" w:noVBand="1"/>
      </w:tblPr>
      <w:tblGrid>
        <w:gridCol w:w="1980"/>
        <w:gridCol w:w="3598"/>
        <w:gridCol w:w="4482"/>
        <w:gridCol w:w="1984"/>
        <w:gridCol w:w="1904"/>
      </w:tblGrid>
      <w:tr w:rsidR="005A6B49" w:rsidRPr="005A6B49" w14:paraId="03FC3F89" w14:textId="77777777" w:rsidTr="000C5D66">
        <w:tc>
          <w:tcPr>
            <w:tcW w:w="1980" w:type="dxa"/>
            <w:shd w:val="clear" w:color="auto" w:fill="C5E0B3" w:themeFill="accent6" w:themeFillTint="66"/>
          </w:tcPr>
          <w:p w14:paraId="29DCF0EC" w14:textId="2ECEFC0A" w:rsidR="005A6B49" w:rsidRPr="005A6B49" w:rsidRDefault="00583370" w:rsidP="00912629">
            <w:pPr>
              <w:rPr>
                <w:b/>
              </w:rPr>
            </w:pPr>
            <w:r>
              <w:rPr>
                <w:b/>
              </w:rPr>
              <w:t>Sub-policy</w:t>
            </w:r>
            <w:r w:rsidR="005A6B49">
              <w:rPr>
                <w:b/>
              </w:rPr>
              <w:t xml:space="preserve"> 2</w:t>
            </w:r>
          </w:p>
        </w:tc>
        <w:tc>
          <w:tcPr>
            <w:tcW w:w="3598" w:type="dxa"/>
            <w:shd w:val="clear" w:color="auto" w:fill="C5E0B3" w:themeFill="accent6" w:themeFillTint="66"/>
          </w:tcPr>
          <w:p w14:paraId="1C13651A" w14:textId="0DFB600B" w:rsidR="005A6B49" w:rsidRPr="004A5D71" w:rsidRDefault="00C624C0" w:rsidP="0029410F">
            <w:pPr>
              <w:rPr>
                <w:b/>
                <w:lang w:val="en-GB"/>
              </w:rPr>
            </w:pPr>
            <w:r w:rsidRPr="00FB1FE6">
              <w:rPr>
                <w:b/>
                <w:lang w:val="en-GB" w:bidi="en-GB"/>
              </w:rPr>
              <w:t xml:space="preserve">Challenge(s) in the </w:t>
            </w:r>
            <w:r w:rsidR="00B547F5" w:rsidRPr="004A5D71">
              <w:rPr>
                <w:b/>
                <w:lang w:val="en-GB" w:bidi="en-GB"/>
              </w:rPr>
              <w:t>20</w:t>
            </w:r>
            <w:r w:rsidR="00B547F5">
              <w:rPr>
                <w:b/>
                <w:lang w:val="en-GB" w:bidi="en-GB"/>
              </w:rPr>
              <w:t>2</w:t>
            </w:r>
            <w:r w:rsidR="0029410F">
              <w:rPr>
                <w:b/>
                <w:lang w:val="en-GB" w:bidi="en-GB"/>
              </w:rPr>
              <w:t>2</w:t>
            </w:r>
            <w:r w:rsidR="00B547F5" w:rsidRPr="00FB1FE6">
              <w:rPr>
                <w:b/>
                <w:lang w:val="en-GB" w:bidi="en-GB"/>
              </w:rPr>
              <w:t xml:space="preserve"> </w:t>
            </w:r>
            <w:r w:rsidRPr="00FB1FE6">
              <w:rPr>
                <w:b/>
                <w:lang w:val="en-GB" w:bidi="en-GB"/>
              </w:rPr>
              <w:t>quality year</w:t>
            </w:r>
          </w:p>
        </w:tc>
        <w:tc>
          <w:tcPr>
            <w:tcW w:w="4482" w:type="dxa"/>
            <w:shd w:val="clear" w:color="auto" w:fill="C5E0B3" w:themeFill="accent6" w:themeFillTint="66"/>
          </w:tcPr>
          <w:p w14:paraId="2F1A6858" w14:textId="43247BB3" w:rsidR="005A6B49" w:rsidRPr="004A5D71" w:rsidRDefault="00C624C0" w:rsidP="00912629">
            <w:pPr>
              <w:rPr>
                <w:b/>
                <w:lang w:val="en-GB"/>
              </w:rPr>
            </w:pPr>
            <w:r w:rsidRPr="004A5D71">
              <w:rPr>
                <w:b/>
                <w:lang w:val="en-GB" w:bidi="en-GB"/>
              </w:rPr>
              <w:t>Challenge and follow-up (Ongoing and new actions)</w:t>
            </w:r>
          </w:p>
        </w:tc>
        <w:tc>
          <w:tcPr>
            <w:tcW w:w="1984" w:type="dxa"/>
            <w:shd w:val="clear" w:color="auto" w:fill="C5E0B3" w:themeFill="accent6" w:themeFillTint="66"/>
          </w:tcPr>
          <w:p w14:paraId="2321BFE7" w14:textId="69AA696D" w:rsidR="005A6B49" w:rsidRPr="005A6B49" w:rsidRDefault="00C624C0" w:rsidP="00912629">
            <w:pPr>
              <w:rPr>
                <w:b/>
              </w:rPr>
            </w:pPr>
            <w:r w:rsidRPr="00FB1FE6">
              <w:rPr>
                <w:b/>
                <w:lang w:val="en-GB" w:bidi="en-GB"/>
              </w:rPr>
              <w:t>Responsibility</w:t>
            </w:r>
          </w:p>
        </w:tc>
        <w:tc>
          <w:tcPr>
            <w:tcW w:w="1904" w:type="dxa"/>
            <w:shd w:val="clear" w:color="auto" w:fill="C5E0B3" w:themeFill="accent6" w:themeFillTint="66"/>
          </w:tcPr>
          <w:p w14:paraId="60CBC2C7" w14:textId="499B6DE9" w:rsidR="005A6B49" w:rsidRPr="005A6B49" w:rsidRDefault="00C624C0" w:rsidP="00912629">
            <w:pPr>
              <w:rPr>
                <w:b/>
              </w:rPr>
            </w:pPr>
            <w:r w:rsidRPr="00FB1FE6">
              <w:rPr>
                <w:b/>
                <w:lang w:val="en-GB" w:bidi="en-GB"/>
              </w:rPr>
              <w:t>Deadline</w:t>
            </w:r>
          </w:p>
        </w:tc>
      </w:tr>
      <w:tr w:rsidR="005A6B49" w:rsidRPr="00F23087" w14:paraId="6625C920" w14:textId="77777777" w:rsidTr="000C5D66">
        <w:tc>
          <w:tcPr>
            <w:tcW w:w="1980" w:type="dxa"/>
          </w:tcPr>
          <w:p w14:paraId="4391D081" w14:textId="4E93C583" w:rsidR="005A6B49" w:rsidRPr="00FE0185" w:rsidRDefault="00F23087" w:rsidP="00066787">
            <w:pPr>
              <w:rPr>
                <w:b/>
                <w:lang w:val="en-US"/>
              </w:rPr>
            </w:pPr>
            <w:hyperlink r:id="rId7" w:history="1">
              <w:r w:rsidR="00FE0185" w:rsidRPr="00F23087">
                <w:rPr>
                  <w:rStyle w:val="Hyperlink"/>
                  <w:b/>
                  <w:lang w:val="en-GB"/>
                </w:rPr>
                <w:t>High-quality, coherent degree programmes</w:t>
              </w:r>
            </w:hyperlink>
          </w:p>
        </w:tc>
        <w:tc>
          <w:tcPr>
            <w:tcW w:w="3598" w:type="dxa"/>
          </w:tcPr>
          <w:p w14:paraId="4BF8BF00" w14:textId="77777777" w:rsidR="005A6B49" w:rsidRPr="00FE0185" w:rsidRDefault="005A6B49" w:rsidP="00912629">
            <w:pPr>
              <w:rPr>
                <w:lang w:val="en-US"/>
              </w:rPr>
            </w:pPr>
          </w:p>
        </w:tc>
        <w:tc>
          <w:tcPr>
            <w:tcW w:w="4482" w:type="dxa"/>
          </w:tcPr>
          <w:p w14:paraId="20C4508C" w14:textId="77777777" w:rsidR="005A6B49" w:rsidRPr="00FE0185" w:rsidRDefault="005A6B49" w:rsidP="00912629">
            <w:pPr>
              <w:rPr>
                <w:lang w:val="en-US"/>
              </w:rPr>
            </w:pPr>
          </w:p>
        </w:tc>
        <w:tc>
          <w:tcPr>
            <w:tcW w:w="1984" w:type="dxa"/>
          </w:tcPr>
          <w:p w14:paraId="2652D3C4" w14:textId="77777777" w:rsidR="005A6B49" w:rsidRPr="00FE0185" w:rsidRDefault="005A6B49" w:rsidP="00912629">
            <w:pPr>
              <w:rPr>
                <w:lang w:val="en-US"/>
              </w:rPr>
            </w:pPr>
          </w:p>
        </w:tc>
        <w:tc>
          <w:tcPr>
            <w:tcW w:w="1904" w:type="dxa"/>
          </w:tcPr>
          <w:p w14:paraId="5292D5ED" w14:textId="77777777" w:rsidR="005A6B49" w:rsidRPr="00FE0185" w:rsidRDefault="005A6B49" w:rsidP="00912629">
            <w:pPr>
              <w:rPr>
                <w:lang w:val="en-US"/>
              </w:rPr>
            </w:pPr>
          </w:p>
        </w:tc>
      </w:tr>
    </w:tbl>
    <w:p w14:paraId="52A1BD45" w14:textId="77777777" w:rsidR="005A6B49" w:rsidRPr="00FE0185" w:rsidRDefault="005A6B49" w:rsidP="00986B7D">
      <w:pPr>
        <w:rPr>
          <w:lang w:val="en-US"/>
        </w:rPr>
      </w:pPr>
    </w:p>
    <w:tbl>
      <w:tblPr>
        <w:tblStyle w:val="Tabel-Gitter"/>
        <w:tblW w:w="0" w:type="auto"/>
        <w:tblLook w:val="04A0" w:firstRow="1" w:lastRow="0" w:firstColumn="1" w:lastColumn="0" w:noHBand="0" w:noVBand="1"/>
      </w:tblPr>
      <w:tblGrid>
        <w:gridCol w:w="1980"/>
        <w:gridCol w:w="3598"/>
        <w:gridCol w:w="4482"/>
        <w:gridCol w:w="1984"/>
        <w:gridCol w:w="1904"/>
      </w:tblGrid>
      <w:tr w:rsidR="005A6B49" w:rsidRPr="005A6B49" w14:paraId="2948C4A3" w14:textId="77777777" w:rsidTr="000C5D66">
        <w:tc>
          <w:tcPr>
            <w:tcW w:w="1980" w:type="dxa"/>
            <w:shd w:val="clear" w:color="auto" w:fill="C5E0B3" w:themeFill="accent6" w:themeFillTint="66"/>
          </w:tcPr>
          <w:p w14:paraId="21E6E872" w14:textId="73352BA2" w:rsidR="005A6B49" w:rsidRPr="005A6B49" w:rsidRDefault="00583370" w:rsidP="00912629">
            <w:pPr>
              <w:rPr>
                <w:b/>
              </w:rPr>
            </w:pPr>
            <w:r>
              <w:rPr>
                <w:b/>
              </w:rPr>
              <w:t>Sub-policy</w:t>
            </w:r>
            <w:r w:rsidR="005A6B49">
              <w:rPr>
                <w:b/>
              </w:rPr>
              <w:t xml:space="preserve"> 3</w:t>
            </w:r>
          </w:p>
        </w:tc>
        <w:tc>
          <w:tcPr>
            <w:tcW w:w="3598" w:type="dxa"/>
            <w:shd w:val="clear" w:color="auto" w:fill="C5E0B3" w:themeFill="accent6" w:themeFillTint="66"/>
          </w:tcPr>
          <w:p w14:paraId="327011DD" w14:textId="3F42BA38" w:rsidR="005A6B49" w:rsidRPr="004A5D71" w:rsidRDefault="00C624C0" w:rsidP="0029410F">
            <w:pPr>
              <w:rPr>
                <w:b/>
                <w:lang w:val="en-GB"/>
              </w:rPr>
            </w:pPr>
            <w:r w:rsidRPr="00FB1FE6">
              <w:rPr>
                <w:b/>
                <w:lang w:val="en-GB" w:bidi="en-GB"/>
              </w:rPr>
              <w:t xml:space="preserve">Challenge(s) in the </w:t>
            </w:r>
            <w:r w:rsidR="00B547F5" w:rsidRPr="004A5D71">
              <w:rPr>
                <w:b/>
                <w:lang w:val="en-GB" w:bidi="en-GB"/>
              </w:rPr>
              <w:t>20</w:t>
            </w:r>
            <w:r w:rsidR="00B547F5">
              <w:rPr>
                <w:b/>
                <w:lang w:val="en-GB" w:bidi="en-GB"/>
              </w:rPr>
              <w:t>2</w:t>
            </w:r>
            <w:r w:rsidR="0029410F">
              <w:rPr>
                <w:b/>
                <w:lang w:val="en-GB" w:bidi="en-GB"/>
              </w:rPr>
              <w:t>2</w:t>
            </w:r>
            <w:r w:rsidRPr="00FB1FE6">
              <w:rPr>
                <w:b/>
                <w:lang w:val="en-GB" w:bidi="en-GB"/>
              </w:rPr>
              <w:t xml:space="preserve"> quality year</w:t>
            </w:r>
          </w:p>
        </w:tc>
        <w:tc>
          <w:tcPr>
            <w:tcW w:w="4482" w:type="dxa"/>
            <w:shd w:val="clear" w:color="auto" w:fill="C5E0B3" w:themeFill="accent6" w:themeFillTint="66"/>
          </w:tcPr>
          <w:p w14:paraId="106A2AD2" w14:textId="17EB35CB" w:rsidR="005A6B49" w:rsidRPr="004A5D71" w:rsidRDefault="00C624C0" w:rsidP="00912629">
            <w:pPr>
              <w:rPr>
                <w:b/>
                <w:lang w:val="en-GB"/>
              </w:rPr>
            </w:pPr>
            <w:r w:rsidRPr="004A5D71">
              <w:rPr>
                <w:b/>
                <w:lang w:val="en-GB" w:bidi="en-GB"/>
              </w:rPr>
              <w:t>Challenge and follow-up (Ongoing and new actions)</w:t>
            </w:r>
          </w:p>
        </w:tc>
        <w:tc>
          <w:tcPr>
            <w:tcW w:w="1984" w:type="dxa"/>
            <w:shd w:val="clear" w:color="auto" w:fill="C5E0B3" w:themeFill="accent6" w:themeFillTint="66"/>
          </w:tcPr>
          <w:p w14:paraId="53F98478" w14:textId="357B7C19" w:rsidR="005A6B49" w:rsidRPr="005A6B49" w:rsidRDefault="00C624C0" w:rsidP="00912629">
            <w:pPr>
              <w:rPr>
                <w:b/>
              </w:rPr>
            </w:pPr>
            <w:r w:rsidRPr="00FB1FE6">
              <w:rPr>
                <w:b/>
                <w:lang w:val="en-GB" w:bidi="en-GB"/>
              </w:rPr>
              <w:t>Responsibility</w:t>
            </w:r>
          </w:p>
        </w:tc>
        <w:tc>
          <w:tcPr>
            <w:tcW w:w="1904" w:type="dxa"/>
            <w:shd w:val="clear" w:color="auto" w:fill="C5E0B3" w:themeFill="accent6" w:themeFillTint="66"/>
          </w:tcPr>
          <w:p w14:paraId="265BC2B1" w14:textId="5D548C45" w:rsidR="005A6B49" w:rsidRPr="005A6B49" w:rsidRDefault="00C624C0" w:rsidP="00912629">
            <w:pPr>
              <w:rPr>
                <w:b/>
              </w:rPr>
            </w:pPr>
            <w:r w:rsidRPr="00FB1FE6">
              <w:rPr>
                <w:b/>
                <w:lang w:val="en-GB" w:bidi="en-GB"/>
              </w:rPr>
              <w:t>Deadline</w:t>
            </w:r>
          </w:p>
        </w:tc>
      </w:tr>
      <w:tr w:rsidR="005A6B49" w:rsidRPr="00F23087" w14:paraId="67AB314C" w14:textId="77777777" w:rsidTr="00912629">
        <w:tc>
          <w:tcPr>
            <w:tcW w:w="1980" w:type="dxa"/>
          </w:tcPr>
          <w:p w14:paraId="5CFFB085" w14:textId="4F7957CC" w:rsidR="005A6B49" w:rsidRPr="00FE0185" w:rsidRDefault="00F23087" w:rsidP="00FE0185">
            <w:pPr>
              <w:rPr>
                <w:b/>
                <w:lang w:val="en-US"/>
              </w:rPr>
            </w:pPr>
            <w:hyperlink r:id="rId8" w:history="1">
              <w:r w:rsidR="000E4684" w:rsidRPr="00F23087">
                <w:rPr>
                  <w:rStyle w:val="Hyperlink"/>
                  <w:b/>
                  <w:lang w:val="en-GB"/>
                </w:rPr>
                <w:t>Motivational teaching and learning environments</w:t>
              </w:r>
            </w:hyperlink>
          </w:p>
        </w:tc>
        <w:tc>
          <w:tcPr>
            <w:tcW w:w="3598" w:type="dxa"/>
          </w:tcPr>
          <w:p w14:paraId="5823B41C" w14:textId="77777777" w:rsidR="005A6B49" w:rsidRPr="00FE0185" w:rsidRDefault="005A6B49" w:rsidP="00912629">
            <w:pPr>
              <w:rPr>
                <w:lang w:val="en-US"/>
              </w:rPr>
            </w:pPr>
          </w:p>
        </w:tc>
        <w:tc>
          <w:tcPr>
            <w:tcW w:w="4482" w:type="dxa"/>
          </w:tcPr>
          <w:p w14:paraId="6CC16F2F" w14:textId="77777777" w:rsidR="005A6B49" w:rsidRPr="00FE0185" w:rsidRDefault="005A6B49" w:rsidP="00912629">
            <w:pPr>
              <w:rPr>
                <w:lang w:val="en-US"/>
              </w:rPr>
            </w:pPr>
          </w:p>
        </w:tc>
        <w:tc>
          <w:tcPr>
            <w:tcW w:w="1984" w:type="dxa"/>
          </w:tcPr>
          <w:p w14:paraId="53D3562F" w14:textId="77777777" w:rsidR="005A6B49" w:rsidRPr="00FE0185" w:rsidRDefault="005A6B49" w:rsidP="00912629">
            <w:pPr>
              <w:rPr>
                <w:lang w:val="en-US"/>
              </w:rPr>
            </w:pPr>
          </w:p>
        </w:tc>
        <w:tc>
          <w:tcPr>
            <w:tcW w:w="1904" w:type="dxa"/>
          </w:tcPr>
          <w:p w14:paraId="6D9E2981" w14:textId="77777777" w:rsidR="005A6B49" w:rsidRPr="00FE0185" w:rsidRDefault="005A6B49" w:rsidP="00912629">
            <w:pPr>
              <w:rPr>
                <w:lang w:val="en-US"/>
              </w:rPr>
            </w:pPr>
          </w:p>
        </w:tc>
      </w:tr>
    </w:tbl>
    <w:p w14:paraId="2D8F1F21" w14:textId="77777777" w:rsidR="005A6B49" w:rsidRPr="00FE0185" w:rsidRDefault="005A6B49" w:rsidP="00986B7D">
      <w:pPr>
        <w:rPr>
          <w:lang w:val="en-US"/>
        </w:rPr>
      </w:pPr>
    </w:p>
    <w:tbl>
      <w:tblPr>
        <w:tblStyle w:val="Tabel-Gitter"/>
        <w:tblW w:w="0" w:type="auto"/>
        <w:tblLook w:val="04A0" w:firstRow="1" w:lastRow="0" w:firstColumn="1" w:lastColumn="0" w:noHBand="0" w:noVBand="1"/>
      </w:tblPr>
      <w:tblGrid>
        <w:gridCol w:w="1980"/>
        <w:gridCol w:w="3598"/>
        <w:gridCol w:w="4482"/>
        <w:gridCol w:w="1984"/>
        <w:gridCol w:w="1904"/>
      </w:tblGrid>
      <w:tr w:rsidR="005A6B49" w:rsidRPr="005A6B49" w14:paraId="1B66A81C" w14:textId="77777777" w:rsidTr="000C5D66">
        <w:tc>
          <w:tcPr>
            <w:tcW w:w="1980" w:type="dxa"/>
            <w:shd w:val="clear" w:color="auto" w:fill="C5E0B3" w:themeFill="accent6" w:themeFillTint="66"/>
          </w:tcPr>
          <w:p w14:paraId="66AA0BC1" w14:textId="0AA23025" w:rsidR="005A6B49" w:rsidRPr="005A6B49" w:rsidRDefault="00583370" w:rsidP="00912629">
            <w:pPr>
              <w:rPr>
                <w:b/>
              </w:rPr>
            </w:pPr>
            <w:r>
              <w:rPr>
                <w:b/>
              </w:rPr>
              <w:t>Sub-policy</w:t>
            </w:r>
            <w:r w:rsidR="005A6B49">
              <w:rPr>
                <w:b/>
              </w:rPr>
              <w:t xml:space="preserve"> 4</w:t>
            </w:r>
          </w:p>
        </w:tc>
        <w:tc>
          <w:tcPr>
            <w:tcW w:w="3598" w:type="dxa"/>
            <w:shd w:val="clear" w:color="auto" w:fill="C5E0B3" w:themeFill="accent6" w:themeFillTint="66"/>
          </w:tcPr>
          <w:p w14:paraId="2491D1FE" w14:textId="4B6B0721" w:rsidR="005A6B49" w:rsidRPr="004A5D71" w:rsidRDefault="00C624C0" w:rsidP="0029410F">
            <w:pPr>
              <w:rPr>
                <w:b/>
                <w:lang w:val="en-GB"/>
              </w:rPr>
            </w:pPr>
            <w:r w:rsidRPr="00FB1FE6">
              <w:rPr>
                <w:b/>
                <w:lang w:val="en-GB" w:bidi="en-GB"/>
              </w:rPr>
              <w:t xml:space="preserve">Challenge(s) in the </w:t>
            </w:r>
            <w:r w:rsidR="00B547F5" w:rsidRPr="004A5D71">
              <w:rPr>
                <w:b/>
                <w:lang w:val="en-GB" w:bidi="en-GB"/>
              </w:rPr>
              <w:t>20</w:t>
            </w:r>
            <w:r w:rsidR="00B547F5">
              <w:rPr>
                <w:b/>
                <w:lang w:val="en-GB" w:bidi="en-GB"/>
              </w:rPr>
              <w:t>2</w:t>
            </w:r>
            <w:r w:rsidR="0029410F">
              <w:rPr>
                <w:b/>
                <w:lang w:val="en-GB" w:bidi="en-GB"/>
              </w:rPr>
              <w:t>2</w:t>
            </w:r>
            <w:r w:rsidRPr="00FB1FE6">
              <w:rPr>
                <w:b/>
                <w:lang w:val="en-GB" w:bidi="en-GB"/>
              </w:rPr>
              <w:t xml:space="preserve"> quality year</w:t>
            </w:r>
          </w:p>
        </w:tc>
        <w:tc>
          <w:tcPr>
            <w:tcW w:w="4482" w:type="dxa"/>
            <w:shd w:val="clear" w:color="auto" w:fill="C5E0B3" w:themeFill="accent6" w:themeFillTint="66"/>
          </w:tcPr>
          <w:p w14:paraId="0931BFD0" w14:textId="66D1F745" w:rsidR="005A6B49" w:rsidRPr="004A5D71" w:rsidRDefault="00C624C0" w:rsidP="00912629">
            <w:pPr>
              <w:rPr>
                <w:b/>
                <w:lang w:val="en-GB"/>
              </w:rPr>
            </w:pPr>
            <w:r w:rsidRPr="004A5D71">
              <w:rPr>
                <w:b/>
                <w:lang w:val="en-GB" w:bidi="en-GB"/>
              </w:rPr>
              <w:t>Challenge and follow-up (Ongoing and new actions)</w:t>
            </w:r>
          </w:p>
        </w:tc>
        <w:tc>
          <w:tcPr>
            <w:tcW w:w="1984" w:type="dxa"/>
            <w:shd w:val="clear" w:color="auto" w:fill="C5E0B3" w:themeFill="accent6" w:themeFillTint="66"/>
          </w:tcPr>
          <w:p w14:paraId="54984D6D" w14:textId="2007F07A" w:rsidR="005A6B49" w:rsidRPr="005A6B49" w:rsidRDefault="00C624C0" w:rsidP="00912629">
            <w:pPr>
              <w:rPr>
                <w:b/>
              </w:rPr>
            </w:pPr>
            <w:r w:rsidRPr="00FB1FE6">
              <w:rPr>
                <w:b/>
                <w:lang w:val="en-GB" w:bidi="en-GB"/>
              </w:rPr>
              <w:t>Responsibility</w:t>
            </w:r>
          </w:p>
        </w:tc>
        <w:tc>
          <w:tcPr>
            <w:tcW w:w="1904" w:type="dxa"/>
            <w:shd w:val="clear" w:color="auto" w:fill="C5E0B3" w:themeFill="accent6" w:themeFillTint="66"/>
          </w:tcPr>
          <w:p w14:paraId="71DF37A5" w14:textId="6BA14D10" w:rsidR="005A6B49" w:rsidRPr="005A6B49" w:rsidRDefault="00C624C0" w:rsidP="00912629">
            <w:pPr>
              <w:rPr>
                <w:b/>
              </w:rPr>
            </w:pPr>
            <w:r w:rsidRPr="00FB1FE6">
              <w:rPr>
                <w:b/>
                <w:lang w:val="en-GB" w:bidi="en-GB"/>
              </w:rPr>
              <w:t>Deadline</w:t>
            </w:r>
          </w:p>
        </w:tc>
      </w:tr>
      <w:tr w:rsidR="005A6B49" w:rsidRPr="00F23087" w14:paraId="4130C30E" w14:textId="77777777" w:rsidTr="00912629">
        <w:tc>
          <w:tcPr>
            <w:tcW w:w="1980" w:type="dxa"/>
          </w:tcPr>
          <w:p w14:paraId="18F6FED3" w14:textId="09C21DBA" w:rsidR="005A6B49" w:rsidRPr="00FE0185" w:rsidRDefault="00F23087" w:rsidP="00066787">
            <w:pPr>
              <w:rPr>
                <w:b/>
                <w:lang w:val="en-US"/>
              </w:rPr>
            </w:pPr>
            <w:hyperlink r:id="rId9" w:history="1">
              <w:r w:rsidR="00FE0185" w:rsidRPr="00F23087">
                <w:rPr>
                  <w:rStyle w:val="Hyperlink"/>
                  <w:b/>
                  <w:lang w:val="en-US"/>
                </w:rPr>
                <w:t>Highly qualified graduates with relevant competencies</w:t>
              </w:r>
            </w:hyperlink>
            <w:bookmarkStart w:id="0" w:name="_GoBack"/>
            <w:bookmarkEnd w:id="0"/>
          </w:p>
        </w:tc>
        <w:tc>
          <w:tcPr>
            <w:tcW w:w="3598" w:type="dxa"/>
          </w:tcPr>
          <w:p w14:paraId="569A93EE" w14:textId="77777777" w:rsidR="005A6B49" w:rsidRPr="00FE0185" w:rsidRDefault="005A6B49" w:rsidP="00912629">
            <w:pPr>
              <w:rPr>
                <w:lang w:val="en-US"/>
              </w:rPr>
            </w:pPr>
          </w:p>
        </w:tc>
        <w:tc>
          <w:tcPr>
            <w:tcW w:w="4482" w:type="dxa"/>
          </w:tcPr>
          <w:p w14:paraId="032A02E8" w14:textId="77777777" w:rsidR="005A6B49" w:rsidRPr="00FE0185" w:rsidRDefault="005A6B49" w:rsidP="00912629">
            <w:pPr>
              <w:rPr>
                <w:lang w:val="en-US"/>
              </w:rPr>
            </w:pPr>
          </w:p>
        </w:tc>
        <w:tc>
          <w:tcPr>
            <w:tcW w:w="1984" w:type="dxa"/>
          </w:tcPr>
          <w:p w14:paraId="7DBE31E7" w14:textId="77777777" w:rsidR="005A6B49" w:rsidRPr="00FE0185" w:rsidRDefault="005A6B49" w:rsidP="00912629">
            <w:pPr>
              <w:rPr>
                <w:lang w:val="en-US"/>
              </w:rPr>
            </w:pPr>
          </w:p>
        </w:tc>
        <w:tc>
          <w:tcPr>
            <w:tcW w:w="1904" w:type="dxa"/>
          </w:tcPr>
          <w:p w14:paraId="048D70E5" w14:textId="77777777" w:rsidR="005A6B49" w:rsidRPr="00FE0185" w:rsidRDefault="005A6B49" w:rsidP="00912629">
            <w:pPr>
              <w:rPr>
                <w:lang w:val="en-US"/>
              </w:rPr>
            </w:pPr>
          </w:p>
        </w:tc>
      </w:tr>
    </w:tbl>
    <w:p w14:paraId="06B7BCF7" w14:textId="77777777" w:rsidR="005A6B49" w:rsidRPr="00FE0185" w:rsidRDefault="005A6B49" w:rsidP="00986B7D">
      <w:pPr>
        <w:rPr>
          <w:lang w:val="en-US"/>
        </w:rPr>
      </w:pPr>
    </w:p>
    <w:p w14:paraId="63C53653" w14:textId="77777777" w:rsidR="005A6B49" w:rsidRPr="00FE0185" w:rsidRDefault="005A6B49" w:rsidP="00986B7D">
      <w:pPr>
        <w:rPr>
          <w:lang w:val="en-US"/>
        </w:rPr>
      </w:pPr>
    </w:p>
    <w:sectPr w:rsidR="005A6B49" w:rsidRPr="00FE0185" w:rsidSect="00B547F5">
      <w:pgSz w:w="16838" w:h="11906" w:orient="landscape"/>
      <w:pgMar w:top="851" w:right="1245"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283"/>
    <w:multiLevelType w:val="hybridMultilevel"/>
    <w:tmpl w:val="7D7A4C8A"/>
    <w:lvl w:ilvl="0" w:tplc="41F4C2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F0E6AB9"/>
    <w:multiLevelType w:val="hybridMultilevel"/>
    <w:tmpl w:val="2500FA5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4FD0303E"/>
    <w:multiLevelType w:val="hybridMultilevel"/>
    <w:tmpl w:val="8BEA018A"/>
    <w:lvl w:ilvl="0" w:tplc="4B88F3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7D"/>
    <w:rsid w:val="00062E21"/>
    <w:rsid w:val="00066787"/>
    <w:rsid w:val="000C5D66"/>
    <w:rsid w:val="000E4684"/>
    <w:rsid w:val="0020767D"/>
    <w:rsid w:val="0029410F"/>
    <w:rsid w:val="002C489B"/>
    <w:rsid w:val="003D60AC"/>
    <w:rsid w:val="004A5D71"/>
    <w:rsid w:val="00583370"/>
    <w:rsid w:val="005A6B49"/>
    <w:rsid w:val="00632D14"/>
    <w:rsid w:val="006350AD"/>
    <w:rsid w:val="00654782"/>
    <w:rsid w:val="00736655"/>
    <w:rsid w:val="00853E10"/>
    <w:rsid w:val="0088199E"/>
    <w:rsid w:val="008D0EF0"/>
    <w:rsid w:val="0094045D"/>
    <w:rsid w:val="00986B7D"/>
    <w:rsid w:val="009D3BE3"/>
    <w:rsid w:val="00A611BF"/>
    <w:rsid w:val="00B0168B"/>
    <w:rsid w:val="00B1301E"/>
    <w:rsid w:val="00B547F5"/>
    <w:rsid w:val="00BC5ACB"/>
    <w:rsid w:val="00C624C0"/>
    <w:rsid w:val="00C76B94"/>
    <w:rsid w:val="00D23C69"/>
    <w:rsid w:val="00D320C1"/>
    <w:rsid w:val="00EC4E6B"/>
    <w:rsid w:val="00F23087"/>
    <w:rsid w:val="00FD0D9E"/>
    <w:rsid w:val="00FE01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CE19"/>
  <w15:chartTrackingRefBased/>
  <w15:docId w15:val="{EBE7D65F-244A-4A3C-88BB-44599832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86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86B7D"/>
    <w:pPr>
      <w:ind w:left="720"/>
      <w:contextualSpacing/>
    </w:pPr>
  </w:style>
  <w:style w:type="table" w:styleId="Mediumliste2-fremhvningsfarve1">
    <w:name w:val="Medium List 2 Accent 1"/>
    <w:basedOn w:val="Tabel-Normal"/>
    <w:uiPriority w:val="66"/>
    <w:rsid w:val="005A6B49"/>
    <w:pPr>
      <w:spacing w:after="0" w:line="240" w:lineRule="auto"/>
    </w:pPr>
    <w:rPr>
      <w:rFonts w:asciiTheme="majorHAnsi" w:eastAsiaTheme="majorEastAsia" w:hAnsiTheme="majorHAnsi" w:cstheme="majorBidi"/>
      <w:color w:val="000000" w:themeColor="text1"/>
      <w:lang w:eastAsia="da-DK"/>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Standardskrifttypeiafsnit"/>
    <w:uiPriority w:val="99"/>
    <w:unhideWhenUsed/>
    <w:rsid w:val="005A6B49"/>
    <w:rPr>
      <w:color w:val="0563C1" w:themeColor="hyperlink"/>
      <w:u w:val="single"/>
    </w:rPr>
  </w:style>
  <w:style w:type="character" w:styleId="Kommentarhenvisning">
    <w:name w:val="annotation reference"/>
    <w:basedOn w:val="Standardskrifttypeiafsnit"/>
    <w:uiPriority w:val="99"/>
    <w:semiHidden/>
    <w:unhideWhenUsed/>
    <w:rsid w:val="009D3BE3"/>
    <w:rPr>
      <w:sz w:val="16"/>
      <w:szCs w:val="16"/>
    </w:rPr>
  </w:style>
  <w:style w:type="paragraph" w:styleId="Kommentartekst">
    <w:name w:val="annotation text"/>
    <w:basedOn w:val="Normal"/>
    <w:link w:val="KommentartekstTegn"/>
    <w:uiPriority w:val="99"/>
    <w:semiHidden/>
    <w:unhideWhenUsed/>
    <w:rsid w:val="009D3BE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D3BE3"/>
    <w:rPr>
      <w:sz w:val="20"/>
      <w:szCs w:val="20"/>
    </w:rPr>
  </w:style>
  <w:style w:type="paragraph" w:styleId="Kommentaremne">
    <w:name w:val="annotation subject"/>
    <w:basedOn w:val="Kommentartekst"/>
    <w:next w:val="Kommentartekst"/>
    <w:link w:val="KommentaremneTegn"/>
    <w:uiPriority w:val="99"/>
    <w:semiHidden/>
    <w:unhideWhenUsed/>
    <w:rsid w:val="009D3BE3"/>
    <w:rPr>
      <w:b/>
      <w:bCs/>
    </w:rPr>
  </w:style>
  <w:style w:type="character" w:customStyle="1" w:styleId="KommentaremneTegn">
    <w:name w:val="Kommentaremne Tegn"/>
    <w:basedOn w:val="KommentartekstTegn"/>
    <w:link w:val="Kommentaremne"/>
    <w:uiPriority w:val="99"/>
    <w:semiHidden/>
    <w:rsid w:val="009D3BE3"/>
    <w:rPr>
      <w:b/>
      <w:bCs/>
      <w:sz w:val="20"/>
      <w:szCs w:val="20"/>
    </w:rPr>
  </w:style>
  <w:style w:type="paragraph" w:styleId="Markeringsbobletekst">
    <w:name w:val="Balloon Text"/>
    <w:basedOn w:val="Normal"/>
    <w:link w:val="MarkeringsbobletekstTegn"/>
    <w:uiPriority w:val="99"/>
    <w:semiHidden/>
    <w:unhideWhenUsed/>
    <w:rsid w:val="009D3BE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3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1917">
      <w:bodyDiv w:val="1"/>
      <w:marLeft w:val="0"/>
      <w:marRight w:val="0"/>
      <w:marTop w:val="0"/>
      <w:marBottom w:val="0"/>
      <w:divBdr>
        <w:top w:val="none" w:sz="0" w:space="0" w:color="auto"/>
        <w:left w:val="none" w:sz="0" w:space="0" w:color="auto"/>
        <w:bottom w:val="none" w:sz="0" w:space="0" w:color="auto"/>
        <w:right w:val="none" w:sz="0" w:space="0" w:color="auto"/>
      </w:divBdr>
    </w:div>
    <w:div w:id="939069601">
      <w:bodyDiv w:val="1"/>
      <w:marLeft w:val="0"/>
      <w:marRight w:val="0"/>
      <w:marTop w:val="0"/>
      <w:marBottom w:val="0"/>
      <w:divBdr>
        <w:top w:val="none" w:sz="0" w:space="0" w:color="auto"/>
        <w:left w:val="none" w:sz="0" w:space="0" w:color="auto"/>
        <w:bottom w:val="none" w:sz="0" w:space="0" w:color="auto"/>
        <w:right w:val="none" w:sz="0" w:space="0" w:color="auto"/>
      </w:divBdr>
    </w:div>
    <w:div w:id="1298030451">
      <w:bodyDiv w:val="1"/>
      <w:marLeft w:val="0"/>
      <w:marRight w:val="0"/>
      <w:marTop w:val="0"/>
      <w:marBottom w:val="0"/>
      <w:divBdr>
        <w:top w:val="none" w:sz="0" w:space="0" w:color="auto"/>
        <w:left w:val="none" w:sz="0" w:space="0" w:color="auto"/>
        <w:bottom w:val="none" w:sz="0" w:space="0" w:color="auto"/>
        <w:right w:val="none" w:sz="0" w:space="0" w:color="auto"/>
      </w:divBdr>
    </w:div>
    <w:div w:id="14900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rbejdere.au.dk/en/strategy/education/quality-assurance-policy/translate-to-english-motiverende-studie-og-laeringsmiljoeer" TargetMode="External"/><Relationship Id="rId3" Type="http://schemas.openxmlformats.org/officeDocument/2006/relationships/styles" Target="styles.xml"/><Relationship Id="rId7" Type="http://schemas.openxmlformats.org/officeDocument/2006/relationships/hyperlink" Target="https://medarbejdere.au.dk/en/strategy/education/quality-assurance-policy/translate-to-english-fagligt-staerke-og-sammenhaengende-uddannels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darbejdere.au.dk/en/strategy/education/quality-assurance-policy/translate-to-english-den-gode-studiestar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arbejdere.au.dk/en/strategy/education/quality-assurance-policy/translate-to-english-staerke-kandidater-med-relevante-kompete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6481F-D1CF-4044-806D-C10608DB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3880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Annike Vestergaard Martínez</cp:lastModifiedBy>
  <cp:revision>4</cp:revision>
  <dcterms:created xsi:type="dcterms:W3CDTF">2022-02-15T10:38:00Z</dcterms:created>
  <dcterms:modified xsi:type="dcterms:W3CDTF">2022-02-22T12:28:00Z</dcterms:modified>
</cp:coreProperties>
</file>