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4960" w14:textId="2A496B1C" w:rsidR="00CF28F6" w:rsidRPr="00385E85" w:rsidRDefault="00D7685A" w:rsidP="00966E1E">
      <w:pPr>
        <w:pStyle w:val="Titel"/>
      </w:pPr>
      <w:bookmarkStart w:id="0" w:name="_Hlk95141011"/>
      <w:r>
        <w:rPr>
          <w:lang w:bidi="en-GB"/>
        </w:rPr>
        <w:t>GUIDELINES AND PRINCIPLES FOR MENTORSHIPS</w:t>
      </w:r>
      <w:bookmarkEnd w:id="0"/>
      <w:r>
        <w:rPr>
          <w:lang w:bidi="en-GB"/>
        </w:rPr>
        <w:t xml:space="preserve"> -</w:t>
      </w:r>
      <w:r>
        <w:rPr>
          <w:lang w:bidi="en-GB"/>
        </w:rPr>
        <w:br/>
      </w:r>
      <w:r w:rsidR="00246627" w:rsidRPr="00246627">
        <w:rPr>
          <w:sz w:val="36"/>
          <w:szCs w:val="36"/>
          <w:lang w:bidi="en-GB"/>
        </w:rPr>
        <w:t>Programme for promotion to professor</w:t>
      </w:r>
    </w:p>
    <w:p w14:paraId="39F5AC0F" w14:textId="77777777" w:rsidR="00AF52D1" w:rsidRPr="00385E85" w:rsidRDefault="00AF52D1" w:rsidP="00324045">
      <w:pPr>
        <w:spacing w:after="0"/>
      </w:pPr>
      <w:r w:rsidRPr="00324045">
        <w:rPr>
          <w:rFonts w:asciiTheme="majorHAnsi" w:eastAsiaTheme="majorEastAsia" w:hAnsiTheme="majorHAnsi" w:cstheme="majorBidi"/>
          <w:b/>
          <w:color w:val="365F91" w:themeColor="accent1" w:themeShade="BF"/>
          <w:sz w:val="28"/>
          <w:szCs w:val="28"/>
          <w:lang w:bidi="en-GB"/>
        </w:rPr>
        <w:t>Introduction</w:t>
      </w:r>
    </w:p>
    <w:p w14:paraId="5CD14DA9" w14:textId="6E401D01" w:rsidR="00547A80" w:rsidRPr="00C51D25" w:rsidRDefault="00547A80" w:rsidP="00547A80">
      <w:pPr>
        <w:rPr>
          <w:rFonts w:ascii="Georgia" w:hAnsi="Georgia"/>
          <w:sz w:val="20"/>
          <w:szCs w:val="20"/>
        </w:rPr>
      </w:pPr>
      <w:r w:rsidRPr="00C51D25">
        <w:rPr>
          <w:rFonts w:ascii="Georgia" w:eastAsia="Georgia" w:hAnsi="Georgia" w:cs="Georgia"/>
          <w:sz w:val="20"/>
          <w:szCs w:val="20"/>
          <w:lang w:bidi="en-GB"/>
        </w:rPr>
        <w:t xml:space="preserve">When admitted to the programme and as part of the development plan, the participating staff member must be assigned a mentor. The mentor </w:t>
      </w:r>
      <w:r w:rsidR="00292ACD" w:rsidRPr="00C51D25">
        <w:rPr>
          <w:rFonts w:ascii="Georgia" w:eastAsia="Georgia" w:hAnsi="Georgia" w:cs="Georgia"/>
          <w:sz w:val="20"/>
          <w:szCs w:val="20"/>
          <w:lang w:bidi="en-GB"/>
        </w:rPr>
        <w:t>must a</w:t>
      </w:r>
      <w:r w:rsidRPr="00C51D25">
        <w:rPr>
          <w:rFonts w:ascii="Georgia" w:eastAsia="Georgia" w:hAnsi="Georgia" w:cs="Georgia"/>
          <w:sz w:val="20"/>
          <w:szCs w:val="20"/>
          <w:lang w:bidi="en-GB"/>
        </w:rPr>
        <w:t xml:space="preserve"> senior member of academic staff, and an individual mentoring programme must be designed. Mentors must be selected by their immediate academic leader or head of department/school. Mentors must be selected on the background of the development plan agreed on for the promotion programme in addition to the following principles and criteria. </w:t>
      </w:r>
    </w:p>
    <w:p w14:paraId="33531685" w14:textId="47052913" w:rsidR="00C036E2" w:rsidRDefault="00C036E2" w:rsidP="00E45FD1">
      <w:pPr>
        <w:pStyle w:val="Default"/>
        <w:rPr>
          <w:rFonts w:eastAsiaTheme="minorEastAsia" w:cstheme="minorBidi"/>
          <w:color w:val="auto"/>
          <w:sz w:val="20"/>
          <w:szCs w:val="20"/>
          <w:lang w:eastAsia="da-DK"/>
        </w:rPr>
      </w:pPr>
    </w:p>
    <w:p w14:paraId="2C05A30F" w14:textId="7006C521" w:rsidR="0049078F" w:rsidRDefault="00D7685A" w:rsidP="00D7685A">
      <w:pPr>
        <w:spacing w:after="0"/>
        <w:rPr>
          <w:rFonts w:eastAsiaTheme="minorEastAsia"/>
          <w:sz w:val="20"/>
          <w:szCs w:val="20"/>
          <w:lang w:eastAsia="da-DK"/>
        </w:rPr>
      </w:pPr>
      <w:r w:rsidRPr="00D7685A">
        <w:rPr>
          <w:rFonts w:asciiTheme="majorHAnsi" w:eastAsiaTheme="majorEastAsia" w:hAnsiTheme="majorHAnsi" w:cstheme="majorBidi"/>
          <w:b/>
          <w:color w:val="365F91" w:themeColor="accent1" w:themeShade="BF"/>
          <w:sz w:val="28"/>
          <w:szCs w:val="28"/>
          <w:lang w:bidi="en-GB"/>
        </w:rPr>
        <w:t>Criteria</w:t>
      </w:r>
    </w:p>
    <w:p w14:paraId="590C1708" w14:textId="5FA5DEEE" w:rsidR="00D7685A" w:rsidRPr="00C51D25" w:rsidRDefault="00D7685A" w:rsidP="00D7685A">
      <w:pPr>
        <w:pStyle w:val="Default"/>
        <w:numPr>
          <w:ilvl w:val="0"/>
          <w:numId w:val="17"/>
        </w:numPr>
        <w:rPr>
          <w:rFonts w:eastAsiaTheme="minorEastAsia" w:cstheme="minorHAnsi"/>
          <w:color w:val="auto"/>
          <w:sz w:val="20"/>
          <w:szCs w:val="20"/>
          <w:lang w:eastAsia="da-DK"/>
        </w:rPr>
      </w:pPr>
      <w:r w:rsidRPr="00C51D25">
        <w:rPr>
          <w:rFonts w:eastAsiaTheme="minorEastAsia" w:cstheme="minorHAnsi"/>
          <w:color w:val="auto"/>
          <w:sz w:val="20"/>
          <w:szCs w:val="20"/>
          <w:lang w:bidi="en-GB"/>
        </w:rPr>
        <w:t>Mentors must be experienced senior academic staff members</w:t>
      </w:r>
      <w:r w:rsidRPr="00C51D25">
        <w:rPr>
          <w:rFonts w:eastAsiaTheme="minorEastAsia" w:cstheme="minorHAnsi"/>
          <w:color w:val="auto"/>
          <w:sz w:val="20"/>
          <w:szCs w:val="20"/>
          <w:lang w:bidi="en-GB"/>
        </w:rPr>
        <w:br/>
        <w:t xml:space="preserve">As a general rule, mentors must be experienced senior academic staff members at professor level. </w:t>
      </w:r>
      <w:r w:rsidRPr="00C51D25">
        <w:rPr>
          <w:rFonts w:eastAsiaTheme="minorEastAsia" w:cstheme="minorHAnsi"/>
          <w:color w:val="auto"/>
          <w:sz w:val="20"/>
          <w:szCs w:val="20"/>
          <w:lang w:bidi="en-GB"/>
        </w:rPr>
        <w:br/>
      </w:r>
    </w:p>
    <w:p w14:paraId="55F6C29D" w14:textId="68B7FD2A" w:rsidR="00D7685A" w:rsidRPr="00C51D25" w:rsidRDefault="00D7685A" w:rsidP="00D7685A">
      <w:pPr>
        <w:pStyle w:val="Default"/>
        <w:numPr>
          <w:ilvl w:val="0"/>
          <w:numId w:val="17"/>
        </w:numPr>
        <w:rPr>
          <w:rFonts w:eastAsiaTheme="minorEastAsia" w:cstheme="minorHAnsi"/>
          <w:color w:val="auto"/>
          <w:sz w:val="20"/>
          <w:szCs w:val="20"/>
          <w:lang w:eastAsia="da-DK"/>
        </w:rPr>
      </w:pPr>
      <w:proofErr w:type="gramStart"/>
      <w:r w:rsidRPr="00C51D25">
        <w:rPr>
          <w:rFonts w:eastAsiaTheme="minorEastAsia" w:cstheme="minorHAnsi"/>
          <w:color w:val="auto"/>
          <w:sz w:val="20"/>
          <w:szCs w:val="20"/>
          <w:lang w:bidi="en-GB"/>
        </w:rPr>
        <w:t xml:space="preserve">As a general </w:t>
      </w:r>
      <w:r w:rsidR="00292ACD" w:rsidRPr="00C51D25">
        <w:rPr>
          <w:rFonts w:eastAsiaTheme="minorEastAsia" w:cstheme="minorHAnsi"/>
          <w:color w:val="auto"/>
          <w:sz w:val="20"/>
          <w:szCs w:val="20"/>
          <w:lang w:bidi="en-GB"/>
        </w:rPr>
        <w:t>rule</w:t>
      </w:r>
      <w:proofErr w:type="gramEnd"/>
      <w:r w:rsidR="00292ACD" w:rsidRPr="00C51D25">
        <w:rPr>
          <w:rFonts w:eastAsiaTheme="minorEastAsia" w:cstheme="minorHAnsi"/>
          <w:color w:val="auto"/>
          <w:sz w:val="20"/>
          <w:szCs w:val="20"/>
          <w:lang w:bidi="en-GB"/>
        </w:rPr>
        <w:t>, mentors</w:t>
      </w:r>
      <w:r w:rsidRPr="00C51D25">
        <w:rPr>
          <w:rFonts w:eastAsiaTheme="minorEastAsia" w:cstheme="minorHAnsi"/>
          <w:color w:val="auto"/>
          <w:sz w:val="20"/>
          <w:szCs w:val="20"/>
          <w:lang w:bidi="en-GB"/>
        </w:rPr>
        <w:t xml:space="preserve"> must be employed at AU </w:t>
      </w:r>
      <w:r w:rsidRPr="00C51D25">
        <w:rPr>
          <w:rFonts w:eastAsiaTheme="minorEastAsia" w:cstheme="minorHAnsi"/>
          <w:color w:val="auto"/>
          <w:sz w:val="20"/>
          <w:szCs w:val="20"/>
          <w:lang w:bidi="en-GB"/>
        </w:rPr>
        <w:br/>
      </w:r>
      <w:r w:rsidRPr="00C51D25">
        <w:rPr>
          <w:rFonts w:eastAsiaTheme="minorEastAsia" w:cstheme="minorHAnsi"/>
          <w:i/>
          <w:color w:val="auto"/>
          <w:sz w:val="20"/>
          <w:szCs w:val="20"/>
          <w:lang w:bidi="en-GB"/>
        </w:rPr>
        <w:t xml:space="preserve">As a general rule, mentors must be AU staff. However, external mentors may be appointed in special cases, including mentors from outside Denmark.  </w:t>
      </w:r>
      <w:r w:rsidRPr="00C51D25">
        <w:rPr>
          <w:rFonts w:eastAsiaTheme="minorEastAsia" w:cstheme="minorHAnsi"/>
          <w:i/>
          <w:color w:val="auto"/>
          <w:sz w:val="20"/>
          <w:szCs w:val="20"/>
          <w:lang w:bidi="en-GB"/>
        </w:rPr>
        <w:br/>
      </w:r>
    </w:p>
    <w:p w14:paraId="384963EC" w14:textId="461BD94D" w:rsidR="00D7685A" w:rsidRPr="00C51D25" w:rsidRDefault="00D7685A" w:rsidP="00D7685A">
      <w:pPr>
        <w:pStyle w:val="Default"/>
        <w:numPr>
          <w:ilvl w:val="0"/>
          <w:numId w:val="17"/>
        </w:numPr>
        <w:rPr>
          <w:rFonts w:eastAsiaTheme="minorEastAsia" w:cstheme="minorHAnsi"/>
          <w:color w:val="auto"/>
          <w:sz w:val="20"/>
          <w:szCs w:val="20"/>
          <w:lang w:eastAsia="da-DK"/>
        </w:rPr>
      </w:pPr>
      <w:proofErr w:type="gramStart"/>
      <w:r w:rsidRPr="00C51D25">
        <w:rPr>
          <w:rFonts w:eastAsiaTheme="minorEastAsia" w:cstheme="minorHAnsi"/>
          <w:color w:val="auto"/>
          <w:sz w:val="20"/>
          <w:szCs w:val="20"/>
          <w:lang w:bidi="en-GB"/>
        </w:rPr>
        <w:t>As a general rule</w:t>
      </w:r>
      <w:proofErr w:type="gramEnd"/>
      <w:r w:rsidRPr="00C51D25">
        <w:rPr>
          <w:rFonts w:eastAsiaTheme="minorEastAsia" w:cstheme="minorHAnsi"/>
          <w:color w:val="auto"/>
          <w:sz w:val="20"/>
          <w:szCs w:val="20"/>
          <w:lang w:bidi="en-GB"/>
        </w:rPr>
        <w:t xml:space="preserve">, the mentor role is unpaid </w:t>
      </w:r>
      <w:r w:rsidRPr="00C51D25">
        <w:rPr>
          <w:rFonts w:eastAsiaTheme="minorEastAsia" w:cstheme="minorHAnsi"/>
          <w:color w:val="auto"/>
          <w:sz w:val="20"/>
          <w:szCs w:val="20"/>
          <w:lang w:bidi="en-GB"/>
        </w:rPr>
        <w:br/>
      </w:r>
      <w:r w:rsidRPr="00C51D25">
        <w:rPr>
          <w:rFonts w:eastAsiaTheme="minorEastAsia" w:cstheme="minorHAnsi"/>
          <w:i/>
          <w:color w:val="auto"/>
          <w:sz w:val="20"/>
          <w:szCs w:val="20"/>
          <w:lang w:bidi="en-GB"/>
        </w:rPr>
        <w:t xml:space="preserve">Mentors employed at AU will not receive salary supplements or other remuneration for their mentorship tasks. The mentoring role and the time allocated to it must be balanced with the mentor’s other work responsibilities.  If an external mentor is appointed, remuneration for mentoring may be offered.  </w:t>
      </w:r>
    </w:p>
    <w:p w14:paraId="7D606F2C" w14:textId="57BB948C" w:rsidR="00D7685A" w:rsidRDefault="00D7685A" w:rsidP="00CF47AD">
      <w:pPr>
        <w:pStyle w:val="Default"/>
        <w:ind w:left="720"/>
        <w:rPr>
          <w:rFonts w:eastAsiaTheme="minorEastAsia" w:cstheme="minorBidi"/>
          <w:color w:val="auto"/>
          <w:sz w:val="20"/>
          <w:szCs w:val="20"/>
          <w:lang w:eastAsia="da-DK"/>
        </w:rPr>
      </w:pPr>
    </w:p>
    <w:p w14:paraId="63BAB97C" w14:textId="0D6AA649" w:rsidR="00D7685A" w:rsidRDefault="00D7685A" w:rsidP="00D7685A">
      <w:pPr>
        <w:pStyle w:val="Default"/>
        <w:rPr>
          <w:rFonts w:eastAsiaTheme="minorEastAsia" w:cstheme="minorBidi"/>
          <w:color w:val="auto"/>
          <w:sz w:val="20"/>
          <w:szCs w:val="20"/>
          <w:lang w:eastAsia="da-DK"/>
        </w:rPr>
      </w:pPr>
    </w:p>
    <w:p w14:paraId="4F7A08FF" w14:textId="7EB9DC6D" w:rsidR="00D7685A" w:rsidRDefault="00D7685A" w:rsidP="00D7685A">
      <w:pPr>
        <w:pStyle w:val="Default"/>
        <w:rPr>
          <w:rFonts w:eastAsiaTheme="minorEastAsia" w:cstheme="minorBidi"/>
          <w:color w:val="auto"/>
          <w:sz w:val="20"/>
          <w:szCs w:val="20"/>
          <w:lang w:eastAsia="da-DK"/>
        </w:rPr>
      </w:pPr>
    </w:p>
    <w:p w14:paraId="3B4A48FE" w14:textId="48BE5519" w:rsidR="00D7685A" w:rsidRPr="00D7685A" w:rsidRDefault="00C51D25" w:rsidP="00D7685A">
      <w:pPr>
        <w:pStyle w:val="Default"/>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color w:val="365F91" w:themeColor="accent1" w:themeShade="BF"/>
          <w:sz w:val="28"/>
          <w:szCs w:val="28"/>
          <w:lang w:bidi="en-GB"/>
        </w:rPr>
        <w:t>Principles</w:t>
      </w:r>
    </w:p>
    <w:p w14:paraId="42539765" w14:textId="4EC5660B" w:rsidR="00D7685A" w:rsidRDefault="00D7685A" w:rsidP="00D7685A">
      <w:pPr>
        <w:pStyle w:val="Default"/>
        <w:rPr>
          <w:rFonts w:eastAsiaTheme="minorEastAsia" w:cstheme="minorBidi"/>
          <w:color w:val="auto"/>
          <w:sz w:val="20"/>
          <w:szCs w:val="20"/>
          <w:lang w:eastAsia="da-DK"/>
        </w:rPr>
      </w:pPr>
    </w:p>
    <w:p w14:paraId="039278A9" w14:textId="3C6287B7" w:rsidR="00C74780" w:rsidRPr="00C51D25" w:rsidRDefault="009555BC" w:rsidP="009555BC">
      <w:pPr>
        <w:pStyle w:val="Default"/>
        <w:numPr>
          <w:ilvl w:val="0"/>
          <w:numId w:val="17"/>
        </w:numPr>
        <w:rPr>
          <w:rFonts w:eastAsiaTheme="minorEastAsia" w:cstheme="minorBidi"/>
          <w:color w:val="auto"/>
          <w:sz w:val="20"/>
          <w:szCs w:val="20"/>
          <w:lang w:eastAsia="da-DK"/>
        </w:rPr>
      </w:pPr>
      <w:r w:rsidRPr="00C51D25">
        <w:rPr>
          <w:rFonts w:eastAsiaTheme="minorEastAsia" w:cstheme="minorBidi"/>
          <w:color w:val="auto"/>
          <w:sz w:val="20"/>
          <w:szCs w:val="20"/>
          <w:lang w:bidi="en-GB"/>
        </w:rPr>
        <w:t>Mentees should be matched with mentors from a different department/school</w:t>
      </w:r>
      <w:r w:rsidRPr="00C51D25">
        <w:rPr>
          <w:rFonts w:eastAsiaTheme="minorEastAsia" w:cstheme="minorBidi"/>
          <w:color w:val="auto"/>
          <w:sz w:val="20"/>
          <w:szCs w:val="20"/>
          <w:lang w:bidi="en-GB"/>
        </w:rPr>
        <w:br/>
      </w:r>
      <w:r w:rsidRPr="00C51D25">
        <w:rPr>
          <w:rFonts w:eastAsiaTheme="minorEastAsia" w:cstheme="minorBidi"/>
          <w:i/>
          <w:color w:val="auto"/>
          <w:sz w:val="20"/>
          <w:szCs w:val="20"/>
          <w:lang w:bidi="en-GB"/>
        </w:rPr>
        <w:t xml:space="preserve">We recommend that </w:t>
      </w:r>
      <w:proofErr w:type="gramStart"/>
      <w:r w:rsidRPr="00C51D25">
        <w:rPr>
          <w:rFonts w:eastAsiaTheme="minorEastAsia" w:cstheme="minorBidi"/>
          <w:i/>
          <w:color w:val="auto"/>
          <w:sz w:val="20"/>
          <w:szCs w:val="20"/>
          <w:lang w:bidi="en-GB"/>
        </w:rPr>
        <w:t>as a general rule</w:t>
      </w:r>
      <w:proofErr w:type="gramEnd"/>
      <w:r w:rsidRPr="00C51D25">
        <w:rPr>
          <w:rFonts w:eastAsiaTheme="minorEastAsia" w:cstheme="minorBidi"/>
          <w:i/>
          <w:color w:val="auto"/>
          <w:sz w:val="20"/>
          <w:szCs w:val="20"/>
          <w:lang w:bidi="en-GB"/>
        </w:rPr>
        <w:t xml:space="preserve">, mentees should be matched with mentors from a different department/school. This principle has been adopted to encourage constructive, </w:t>
      </w:r>
      <w:proofErr w:type="gramStart"/>
      <w:r w:rsidRPr="00C51D25">
        <w:rPr>
          <w:rFonts w:eastAsiaTheme="minorEastAsia" w:cstheme="minorBidi"/>
          <w:i/>
          <w:color w:val="auto"/>
          <w:sz w:val="20"/>
          <w:szCs w:val="20"/>
          <w:lang w:bidi="en-GB"/>
        </w:rPr>
        <w:t>independent</w:t>
      </w:r>
      <w:proofErr w:type="gramEnd"/>
      <w:r w:rsidRPr="00C51D25">
        <w:rPr>
          <w:rFonts w:eastAsiaTheme="minorEastAsia" w:cstheme="minorBidi"/>
          <w:i/>
          <w:color w:val="auto"/>
          <w:sz w:val="20"/>
          <w:szCs w:val="20"/>
          <w:lang w:bidi="en-GB"/>
        </w:rPr>
        <w:t xml:space="preserve"> and neutral relationships between mentor and mentee. However, exceptions may be made at larger departments/schools or in cases in which matching a mentee and mentor from the same department/school would be most conducive to the mentee’s professional development. </w:t>
      </w:r>
    </w:p>
    <w:p w14:paraId="0DAD8A00" w14:textId="155D7D07" w:rsidR="009555BC" w:rsidRPr="00C51D25" w:rsidRDefault="009555BC" w:rsidP="00C51D25">
      <w:pPr>
        <w:pStyle w:val="Default"/>
        <w:rPr>
          <w:rFonts w:eastAsiaTheme="minorEastAsia" w:cstheme="minorBidi"/>
          <w:color w:val="auto"/>
          <w:sz w:val="20"/>
          <w:szCs w:val="20"/>
          <w:lang w:eastAsia="da-DK"/>
        </w:rPr>
      </w:pPr>
    </w:p>
    <w:p w14:paraId="3E924411" w14:textId="2463C683" w:rsidR="00C51D25" w:rsidRPr="00C51D25" w:rsidRDefault="00C51D25" w:rsidP="00C51D25">
      <w:pPr>
        <w:pStyle w:val="Default"/>
        <w:numPr>
          <w:ilvl w:val="0"/>
          <w:numId w:val="17"/>
        </w:numPr>
        <w:rPr>
          <w:rFonts w:eastAsiaTheme="minorEastAsia" w:cstheme="minorBidi"/>
          <w:color w:val="auto"/>
          <w:sz w:val="20"/>
          <w:szCs w:val="20"/>
          <w:lang w:eastAsia="da-DK"/>
        </w:rPr>
      </w:pPr>
      <w:r w:rsidRPr="00C51D25">
        <w:rPr>
          <w:rFonts w:eastAsiaTheme="minorEastAsia" w:cstheme="minorBidi"/>
          <w:color w:val="auto"/>
          <w:sz w:val="20"/>
          <w:szCs w:val="20"/>
          <w:lang w:bidi="en-GB"/>
        </w:rPr>
        <w:t xml:space="preserve">Each mentee should be matched with one mentor </w:t>
      </w:r>
      <w:r w:rsidRPr="00C51D25">
        <w:rPr>
          <w:rFonts w:eastAsiaTheme="minorEastAsia" w:cstheme="minorBidi"/>
          <w:color w:val="auto"/>
          <w:sz w:val="20"/>
          <w:szCs w:val="20"/>
          <w:lang w:bidi="en-GB"/>
        </w:rPr>
        <w:br/>
      </w:r>
      <w:r w:rsidRPr="00C51D25">
        <w:rPr>
          <w:rFonts w:eastAsiaTheme="minorEastAsia" w:cstheme="minorBidi"/>
          <w:i/>
          <w:color w:val="auto"/>
          <w:sz w:val="20"/>
          <w:szCs w:val="20"/>
          <w:lang w:bidi="en-GB"/>
        </w:rPr>
        <w:t xml:space="preserve">As a general rule, only one mentor should be assigned to each mentee in the promotion programme. However, exceptions to this principle may be made in cases in which assigning multiple mentors would best support the mentee’s development. </w:t>
      </w:r>
    </w:p>
    <w:p w14:paraId="3E905973" w14:textId="77777777" w:rsidR="00C51D25" w:rsidRPr="00C51D25" w:rsidRDefault="00C51D25" w:rsidP="00C51D25">
      <w:pPr>
        <w:pStyle w:val="Default"/>
        <w:ind w:left="720"/>
        <w:rPr>
          <w:rFonts w:eastAsiaTheme="minorEastAsia" w:cstheme="minorBidi"/>
          <w:color w:val="auto"/>
          <w:sz w:val="20"/>
          <w:szCs w:val="20"/>
          <w:lang w:eastAsia="da-DK"/>
        </w:rPr>
      </w:pPr>
    </w:p>
    <w:p w14:paraId="2CEC6A55" w14:textId="2B95E0AF" w:rsidR="008E7BE6" w:rsidRPr="008E7BE6" w:rsidRDefault="00C51D25" w:rsidP="00C74780">
      <w:pPr>
        <w:pStyle w:val="Default"/>
        <w:numPr>
          <w:ilvl w:val="0"/>
          <w:numId w:val="17"/>
        </w:numPr>
        <w:rPr>
          <w:rFonts w:eastAsiaTheme="minorEastAsia" w:cstheme="minorBidi"/>
          <w:color w:val="auto"/>
          <w:sz w:val="20"/>
          <w:szCs w:val="20"/>
          <w:lang w:eastAsia="da-DK"/>
        </w:rPr>
      </w:pPr>
      <w:r w:rsidRPr="00C51D25">
        <w:rPr>
          <w:rFonts w:eastAsiaTheme="minorEastAsia" w:cstheme="minorBidi"/>
          <w:color w:val="auto"/>
          <w:sz w:val="20"/>
          <w:szCs w:val="20"/>
          <w:lang w:bidi="en-GB"/>
        </w:rPr>
        <w:t xml:space="preserve">Mentors may be replaced during the mentoring relationship </w:t>
      </w:r>
      <w:r w:rsidRPr="00C51D25">
        <w:rPr>
          <w:rFonts w:eastAsiaTheme="minorEastAsia" w:cstheme="minorBidi"/>
          <w:color w:val="auto"/>
          <w:sz w:val="20"/>
          <w:szCs w:val="20"/>
          <w:lang w:bidi="en-GB"/>
        </w:rPr>
        <w:br/>
      </w:r>
      <w:r w:rsidRPr="00C51D25">
        <w:rPr>
          <w:rFonts w:eastAsiaTheme="minorEastAsia" w:cstheme="minorBidi"/>
          <w:i/>
          <w:color w:val="auto"/>
          <w:sz w:val="20"/>
          <w:szCs w:val="20"/>
          <w:lang w:bidi="en-GB"/>
        </w:rPr>
        <w:t xml:space="preserve">Mentors may be replaced </w:t>
      </w:r>
      <w:proofErr w:type="gramStart"/>
      <w:r w:rsidRPr="00C51D25">
        <w:rPr>
          <w:rFonts w:eastAsiaTheme="minorEastAsia" w:cstheme="minorBidi"/>
          <w:i/>
          <w:color w:val="auto"/>
          <w:sz w:val="20"/>
          <w:szCs w:val="20"/>
          <w:lang w:bidi="en-GB"/>
        </w:rPr>
        <w:t>in the event that</w:t>
      </w:r>
      <w:proofErr w:type="gramEnd"/>
      <w:r w:rsidRPr="00C51D25">
        <w:rPr>
          <w:rFonts w:eastAsiaTheme="minorEastAsia" w:cstheme="minorBidi"/>
          <w:i/>
          <w:color w:val="auto"/>
          <w:sz w:val="20"/>
          <w:szCs w:val="20"/>
          <w:lang w:bidi="en-GB"/>
        </w:rPr>
        <w:t xml:space="preserve"> the mentee has development goals for which a different mentor would be able to provide better support. This issue should be addressed in the context of the regular follow-up meetings, and the new mentor should be selected by the candidate’s immediate academic leader or the head of department/school. </w:t>
      </w:r>
    </w:p>
    <w:p w14:paraId="04B816EC" w14:textId="77777777" w:rsidR="008E7BE6" w:rsidRDefault="008E7BE6" w:rsidP="008E7BE6">
      <w:pPr>
        <w:pStyle w:val="Listeafsnit"/>
        <w:rPr>
          <w:sz w:val="20"/>
          <w:szCs w:val="20"/>
        </w:rPr>
      </w:pPr>
    </w:p>
    <w:p w14:paraId="4ADF7552" w14:textId="49608149" w:rsidR="008E7BE6" w:rsidRPr="00A913EA" w:rsidRDefault="00A913EA" w:rsidP="008E7BE6">
      <w:pPr>
        <w:pStyle w:val="Default"/>
        <w:numPr>
          <w:ilvl w:val="0"/>
          <w:numId w:val="17"/>
        </w:numPr>
        <w:rPr>
          <w:rFonts w:eastAsiaTheme="minorEastAsia" w:cstheme="minorBidi"/>
          <w:color w:val="auto"/>
          <w:sz w:val="20"/>
          <w:szCs w:val="20"/>
          <w:lang w:eastAsia="da-DK"/>
        </w:rPr>
      </w:pPr>
      <w:r w:rsidRPr="00A913EA">
        <w:rPr>
          <w:rFonts w:eastAsiaTheme="minorEastAsia" w:cstheme="minorBidi"/>
          <w:color w:val="auto"/>
          <w:sz w:val="20"/>
          <w:szCs w:val="20"/>
          <w:lang w:bidi="en-GB"/>
        </w:rPr>
        <w:t>The mentor’s duties and responsibilities</w:t>
      </w:r>
      <w:r w:rsidRPr="00A913EA">
        <w:rPr>
          <w:rFonts w:eastAsiaTheme="minorEastAsia" w:cstheme="minorBidi"/>
          <w:color w:val="auto"/>
          <w:sz w:val="20"/>
          <w:szCs w:val="20"/>
          <w:lang w:bidi="en-GB"/>
        </w:rPr>
        <w:br/>
      </w:r>
      <w:r w:rsidRPr="00A913EA">
        <w:rPr>
          <w:rFonts w:eastAsiaTheme="minorEastAsia" w:cstheme="minorBidi"/>
          <w:i/>
          <w:color w:val="auto"/>
          <w:sz w:val="20"/>
          <w:szCs w:val="20"/>
          <w:lang w:bidi="en-GB"/>
        </w:rPr>
        <w:t xml:space="preserve">The nature and extent of the mentorship relationship, including meeting frequency, should be </w:t>
      </w:r>
      <w:r w:rsidRPr="00A913EA">
        <w:rPr>
          <w:rFonts w:eastAsiaTheme="minorEastAsia" w:cstheme="minorBidi"/>
          <w:i/>
          <w:color w:val="auto"/>
          <w:sz w:val="20"/>
          <w:szCs w:val="20"/>
          <w:lang w:bidi="en-GB"/>
        </w:rPr>
        <w:lastRenderedPageBreak/>
        <w:t xml:space="preserve">agreed by the mentor and the mentee. To ensure productive, positive mentoring relationships, the mentor’s core work responsibilities and the tasks involved in the role of mentor should be taken into consideration during the selection process. We recommend that the mentors should be selected who have the resources to meet with their mentees for at least four 1.5-hour meetings four times a year. </w:t>
      </w:r>
    </w:p>
    <w:p w14:paraId="05E892EF" w14:textId="356C3D9C" w:rsidR="00D7685A" w:rsidRPr="00C51D25" w:rsidRDefault="00D7685A" w:rsidP="008E7BE6">
      <w:pPr>
        <w:pStyle w:val="Default"/>
        <w:rPr>
          <w:rFonts w:eastAsiaTheme="minorEastAsia" w:cstheme="minorBidi"/>
          <w:color w:val="auto"/>
          <w:sz w:val="20"/>
          <w:szCs w:val="20"/>
          <w:lang w:eastAsia="da-DK"/>
        </w:rPr>
      </w:pPr>
    </w:p>
    <w:sectPr w:rsidR="00D7685A" w:rsidRPr="00C51D25" w:rsidSect="00A8665D">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D0F80" w14:textId="77777777" w:rsidR="002B26D5" w:rsidRDefault="002B26D5" w:rsidP="00325C94">
      <w:pPr>
        <w:spacing w:after="0" w:line="240" w:lineRule="auto"/>
      </w:pPr>
      <w:r>
        <w:separator/>
      </w:r>
    </w:p>
  </w:endnote>
  <w:endnote w:type="continuationSeparator" w:id="0">
    <w:p w14:paraId="203DBF37" w14:textId="77777777" w:rsidR="002B26D5" w:rsidRDefault="002B26D5" w:rsidP="0032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U Passata">
    <w:altName w:val="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369579"/>
      <w:docPartObj>
        <w:docPartGallery w:val="Page Numbers (Bottom of Page)"/>
        <w:docPartUnique/>
      </w:docPartObj>
    </w:sdtPr>
    <w:sdtEndPr>
      <w:rPr>
        <w:noProof/>
      </w:rPr>
    </w:sdtEndPr>
    <w:sdtContent>
      <w:p w14:paraId="6A9F359A" w14:textId="2D039D6C" w:rsidR="008E7BE6" w:rsidRDefault="008E7BE6">
        <w:pPr>
          <w:pStyle w:val="Sidefod"/>
          <w:jc w:val="right"/>
        </w:pPr>
        <w:r>
          <w:rPr>
            <w:lang w:bidi="en-GB"/>
          </w:rPr>
          <w:fldChar w:fldCharType="begin"/>
        </w:r>
        <w:r>
          <w:rPr>
            <w:lang w:bidi="en-GB"/>
          </w:rPr>
          <w:instrText xml:space="preserve"> PAGE   \* MERGEFORMAT </w:instrText>
        </w:r>
        <w:r>
          <w:rPr>
            <w:lang w:bidi="en-GB"/>
          </w:rPr>
          <w:fldChar w:fldCharType="separate"/>
        </w:r>
        <w:r w:rsidR="007E1E04">
          <w:rPr>
            <w:noProof/>
            <w:lang w:bidi="en-GB"/>
          </w:rPr>
          <w:t>1</w:t>
        </w:r>
        <w:r>
          <w:rPr>
            <w:noProof/>
            <w:lang w:bidi="en-GB"/>
          </w:rPr>
          <w:fldChar w:fldCharType="end"/>
        </w:r>
      </w:p>
    </w:sdtContent>
  </w:sdt>
  <w:p w14:paraId="78D83EE4" w14:textId="77777777" w:rsidR="008E7BE6" w:rsidRDefault="008E7B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B1F61" w14:textId="77777777" w:rsidR="002B26D5" w:rsidRDefault="002B26D5" w:rsidP="00325C94">
      <w:pPr>
        <w:spacing w:after="0" w:line="240" w:lineRule="auto"/>
      </w:pPr>
      <w:r>
        <w:separator/>
      </w:r>
    </w:p>
  </w:footnote>
  <w:footnote w:type="continuationSeparator" w:id="0">
    <w:p w14:paraId="2166E704" w14:textId="77777777" w:rsidR="002B26D5" w:rsidRDefault="002B26D5" w:rsidP="0032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ACCE" w14:textId="77777777" w:rsidR="008E7BE6" w:rsidRDefault="008E7BE6" w:rsidP="00325C94">
    <w:pPr>
      <w:pStyle w:val="Sidehoved"/>
      <w:jc w:val="right"/>
    </w:pPr>
    <w:r>
      <w:rPr>
        <w:noProof/>
        <w:lang w:bidi="en-GB"/>
      </w:rPr>
      <mc:AlternateContent>
        <mc:Choice Requires="wpc">
          <w:drawing>
            <wp:anchor distT="0" distB="0" distL="114300" distR="114300" simplePos="0" relativeHeight="251659264" behindDoc="0" locked="0" layoutInCell="1" allowOverlap="1" wp14:anchorId="57B868FE" wp14:editId="58A0AA05">
              <wp:simplePos x="0" y="0"/>
              <wp:positionH relativeFrom="page">
                <wp:posOffset>720090</wp:posOffset>
              </wp:positionH>
              <wp:positionV relativeFrom="page">
                <wp:posOffset>360045</wp:posOffset>
              </wp:positionV>
              <wp:extent cx="609600" cy="304800"/>
              <wp:effectExtent l="5715" t="7620" r="3810" b="1905"/>
              <wp:wrapNone/>
              <wp:docPr id="3"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D78E93A" id="LogoCanvasHide01" o:spid="_x0000_s1026" editas="canvas" style="position:absolute;margin-left:56.7pt;margin-top:28.3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4"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5"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" path="m2878,8160l,8160,8160,r,2892l2878,8160xe" fillcolor="#03428e" stroked="f">
                <v:path arrowok="t" o:connecttype="custom" o:connectlocs="107502,304800;0,304800;304800,0;304800,108025;107502,3048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56722"/>
    <w:multiLevelType w:val="hybridMultilevel"/>
    <w:tmpl w:val="A0126CC8"/>
    <w:lvl w:ilvl="0" w:tplc="4962828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48107E"/>
    <w:multiLevelType w:val="hybridMultilevel"/>
    <w:tmpl w:val="C95087A4"/>
    <w:lvl w:ilvl="0" w:tplc="C0E6DE2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D03721"/>
    <w:multiLevelType w:val="hybridMultilevel"/>
    <w:tmpl w:val="55F28850"/>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F50F1F"/>
    <w:multiLevelType w:val="hybridMultilevel"/>
    <w:tmpl w:val="A4DE77F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08D3597"/>
    <w:multiLevelType w:val="hybridMultilevel"/>
    <w:tmpl w:val="95FC9448"/>
    <w:lvl w:ilvl="0" w:tplc="081680E6">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2A61CF7"/>
    <w:multiLevelType w:val="hybridMultilevel"/>
    <w:tmpl w:val="118A574A"/>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9C55FB4"/>
    <w:multiLevelType w:val="multilevel"/>
    <w:tmpl w:val="7B3E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B06B85"/>
    <w:multiLevelType w:val="multilevel"/>
    <w:tmpl w:val="26E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403DED"/>
    <w:multiLevelType w:val="hybridMultilevel"/>
    <w:tmpl w:val="02640C5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2F28F3"/>
    <w:multiLevelType w:val="hybridMultilevel"/>
    <w:tmpl w:val="BDFAAB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A8E3EA1"/>
    <w:multiLevelType w:val="hybridMultilevel"/>
    <w:tmpl w:val="2B86034A"/>
    <w:lvl w:ilvl="0" w:tplc="7CB4939C">
      <w:start w:val="5"/>
      <w:numFmt w:val="bullet"/>
      <w:lvlText w:val="-"/>
      <w:lvlJc w:val="left"/>
      <w:pPr>
        <w:ind w:left="720" w:hanging="360"/>
      </w:pPr>
      <w:rPr>
        <w:rFonts w:ascii="Georgia" w:eastAsiaTheme="minorEastAsia"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24D63F1"/>
    <w:multiLevelType w:val="multilevel"/>
    <w:tmpl w:val="A046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5E1ACE"/>
    <w:multiLevelType w:val="hybridMultilevel"/>
    <w:tmpl w:val="261EBB98"/>
    <w:lvl w:ilvl="0" w:tplc="C0E6DE2C">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3" w15:restartNumberingAfterBreak="0">
    <w:nsid w:val="6868299E"/>
    <w:multiLevelType w:val="hybridMultilevel"/>
    <w:tmpl w:val="EE9A319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F9152B1"/>
    <w:multiLevelType w:val="hybridMultilevel"/>
    <w:tmpl w:val="26281C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FF709A7"/>
    <w:multiLevelType w:val="hybridMultilevel"/>
    <w:tmpl w:val="2A6837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5"/>
  </w:num>
  <w:num w:numId="2">
    <w:abstractNumId w:val="9"/>
  </w:num>
  <w:num w:numId="3">
    <w:abstractNumId w:val="14"/>
  </w:num>
  <w:num w:numId="4">
    <w:abstractNumId w:val="3"/>
  </w:num>
  <w:num w:numId="5">
    <w:abstractNumId w:val="8"/>
  </w:num>
  <w:num w:numId="6">
    <w:abstractNumId w:val="0"/>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1"/>
  </w:num>
  <w:num w:numId="12">
    <w:abstractNumId w:val="12"/>
  </w:num>
  <w:num w:numId="13">
    <w:abstractNumId w:val="7"/>
  </w:num>
  <w:num w:numId="14">
    <w:abstractNumId w:val="6"/>
  </w:num>
  <w:num w:numId="15">
    <w:abstractNumId w:val="1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94"/>
    <w:rsid w:val="0000032A"/>
    <w:rsid w:val="00002343"/>
    <w:rsid w:val="0000242E"/>
    <w:rsid w:val="000215EB"/>
    <w:rsid w:val="000308C0"/>
    <w:rsid w:val="0003163A"/>
    <w:rsid w:val="00031E1B"/>
    <w:rsid w:val="00033ED5"/>
    <w:rsid w:val="00037E8B"/>
    <w:rsid w:val="00062799"/>
    <w:rsid w:val="00063A5F"/>
    <w:rsid w:val="000816DE"/>
    <w:rsid w:val="00090A34"/>
    <w:rsid w:val="00091361"/>
    <w:rsid w:val="00096EE5"/>
    <w:rsid w:val="000C5C32"/>
    <w:rsid w:val="000E54BF"/>
    <w:rsid w:val="000F16B8"/>
    <w:rsid w:val="00125630"/>
    <w:rsid w:val="001475C3"/>
    <w:rsid w:val="00165AC2"/>
    <w:rsid w:val="0017432F"/>
    <w:rsid w:val="001750C6"/>
    <w:rsid w:val="00187947"/>
    <w:rsid w:val="00197454"/>
    <w:rsid w:val="001A3B3D"/>
    <w:rsid w:val="001B5551"/>
    <w:rsid w:val="001C4125"/>
    <w:rsid w:val="001C639E"/>
    <w:rsid w:val="001D338C"/>
    <w:rsid w:val="00210C76"/>
    <w:rsid w:val="00221EE1"/>
    <w:rsid w:val="002221C1"/>
    <w:rsid w:val="002357F4"/>
    <w:rsid w:val="0023693D"/>
    <w:rsid w:val="00246627"/>
    <w:rsid w:val="00285A7A"/>
    <w:rsid w:val="00292ACD"/>
    <w:rsid w:val="002A6C04"/>
    <w:rsid w:val="002B007B"/>
    <w:rsid w:val="002B1908"/>
    <w:rsid w:val="002B26D5"/>
    <w:rsid w:val="002D50F0"/>
    <w:rsid w:val="002D76A5"/>
    <w:rsid w:val="002E3683"/>
    <w:rsid w:val="002E3B9C"/>
    <w:rsid w:val="002F03D8"/>
    <w:rsid w:val="00303740"/>
    <w:rsid w:val="00304439"/>
    <w:rsid w:val="00324045"/>
    <w:rsid w:val="00325C94"/>
    <w:rsid w:val="00345B7D"/>
    <w:rsid w:val="00361E1D"/>
    <w:rsid w:val="00366629"/>
    <w:rsid w:val="00366E38"/>
    <w:rsid w:val="0037141C"/>
    <w:rsid w:val="00372EAB"/>
    <w:rsid w:val="00385E85"/>
    <w:rsid w:val="003B2168"/>
    <w:rsid w:val="003B3EC9"/>
    <w:rsid w:val="003C1802"/>
    <w:rsid w:val="00430046"/>
    <w:rsid w:val="00441DD0"/>
    <w:rsid w:val="004434AA"/>
    <w:rsid w:val="0049078F"/>
    <w:rsid w:val="00491188"/>
    <w:rsid w:val="004C7107"/>
    <w:rsid w:val="004F129C"/>
    <w:rsid w:val="00505AFD"/>
    <w:rsid w:val="00510AC7"/>
    <w:rsid w:val="00545043"/>
    <w:rsid w:val="00547A80"/>
    <w:rsid w:val="00564492"/>
    <w:rsid w:val="00576E49"/>
    <w:rsid w:val="00580391"/>
    <w:rsid w:val="00581881"/>
    <w:rsid w:val="005A0F90"/>
    <w:rsid w:val="005B35AA"/>
    <w:rsid w:val="005B78C8"/>
    <w:rsid w:val="005C3074"/>
    <w:rsid w:val="005C378D"/>
    <w:rsid w:val="005C7CC1"/>
    <w:rsid w:val="005D5A33"/>
    <w:rsid w:val="005D66D8"/>
    <w:rsid w:val="006058C8"/>
    <w:rsid w:val="0065630F"/>
    <w:rsid w:val="00672A20"/>
    <w:rsid w:val="00675010"/>
    <w:rsid w:val="00676582"/>
    <w:rsid w:val="006776BB"/>
    <w:rsid w:val="006A109E"/>
    <w:rsid w:val="006A242A"/>
    <w:rsid w:val="00743DD7"/>
    <w:rsid w:val="00744ED0"/>
    <w:rsid w:val="0074715C"/>
    <w:rsid w:val="007A0DA9"/>
    <w:rsid w:val="007A15EA"/>
    <w:rsid w:val="007B5F32"/>
    <w:rsid w:val="007D0463"/>
    <w:rsid w:val="007D6703"/>
    <w:rsid w:val="007E18FF"/>
    <w:rsid w:val="007E1E04"/>
    <w:rsid w:val="007F119A"/>
    <w:rsid w:val="00815D42"/>
    <w:rsid w:val="00820F4F"/>
    <w:rsid w:val="00826D4B"/>
    <w:rsid w:val="008701D5"/>
    <w:rsid w:val="00884BD3"/>
    <w:rsid w:val="0089431D"/>
    <w:rsid w:val="008B6F82"/>
    <w:rsid w:val="008B7DA9"/>
    <w:rsid w:val="008C125B"/>
    <w:rsid w:val="008E3ECF"/>
    <w:rsid w:val="008E4D4F"/>
    <w:rsid w:val="008E7BE6"/>
    <w:rsid w:val="008F0E89"/>
    <w:rsid w:val="008F4D86"/>
    <w:rsid w:val="0093795D"/>
    <w:rsid w:val="00945932"/>
    <w:rsid w:val="009555BC"/>
    <w:rsid w:val="0095769A"/>
    <w:rsid w:val="00966E1E"/>
    <w:rsid w:val="009A098B"/>
    <w:rsid w:val="009A4BBC"/>
    <w:rsid w:val="009E0662"/>
    <w:rsid w:val="009E3A1F"/>
    <w:rsid w:val="00A05351"/>
    <w:rsid w:val="00A129A9"/>
    <w:rsid w:val="00A23836"/>
    <w:rsid w:val="00A27471"/>
    <w:rsid w:val="00A56FF1"/>
    <w:rsid w:val="00A77FF6"/>
    <w:rsid w:val="00A80E04"/>
    <w:rsid w:val="00A8665D"/>
    <w:rsid w:val="00A913EA"/>
    <w:rsid w:val="00AC6FA5"/>
    <w:rsid w:val="00AD66A3"/>
    <w:rsid w:val="00AE7990"/>
    <w:rsid w:val="00AE7FB1"/>
    <w:rsid w:val="00AF266B"/>
    <w:rsid w:val="00AF52D1"/>
    <w:rsid w:val="00B06082"/>
    <w:rsid w:val="00B17388"/>
    <w:rsid w:val="00B17EDC"/>
    <w:rsid w:val="00B22964"/>
    <w:rsid w:val="00B32347"/>
    <w:rsid w:val="00B328A0"/>
    <w:rsid w:val="00B34A6A"/>
    <w:rsid w:val="00B55421"/>
    <w:rsid w:val="00B91464"/>
    <w:rsid w:val="00B928F4"/>
    <w:rsid w:val="00BA1FFA"/>
    <w:rsid w:val="00BB49FF"/>
    <w:rsid w:val="00BB7470"/>
    <w:rsid w:val="00BC34A6"/>
    <w:rsid w:val="00BE0B61"/>
    <w:rsid w:val="00BE53A6"/>
    <w:rsid w:val="00BE6B2F"/>
    <w:rsid w:val="00BE7D4B"/>
    <w:rsid w:val="00C036E2"/>
    <w:rsid w:val="00C37EA9"/>
    <w:rsid w:val="00C51D25"/>
    <w:rsid w:val="00C51FFF"/>
    <w:rsid w:val="00C6533D"/>
    <w:rsid w:val="00C66A5D"/>
    <w:rsid w:val="00C74780"/>
    <w:rsid w:val="00C90568"/>
    <w:rsid w:val="00CA447E"/>
    <w:rsid w:val="00CC66FD"/>
    <w:rsid w:val="00CD5F8D"/>
    <w:rsid w:val="00CD62B0"/>
    <w:rsid w:val="00CE1C61"/>
    <w:rsid w:val="00CF28F6"/>
    <w:rsid w:val="00CF47AD"/>
    <w:rsid w:val="00CF7E1F"/>
    <w:rsid w:val="00D00B36"/>
    <w:rsid w:val="00D00FEF"/>
    <w:rsid w:val="00D0198B"/>
    <w:rsid w:val="00D14AB7"/>
    <w:rsid w:val="00D300E1"/>
    <w:rsid w:val="00D33D2D"/>
    <w:rsid w:val="00D50510"/>
    <w:rsid w:val="00D64D2D"/>
    <w:rsid w:val="00D758EE"/>
    <w:rsid w:val="00D7685A"/>
    <w:rsid w:val="00DA1479"/>
    <w:rsid w:val="00DB1E9C"/>
    <w:rsid w:val="00DD6811"/>
    <w:rsid w:val="00DE41D6"/>
    <w:rsid w:val="00E00E1F"/>
    <w:rsid w:val="00E32C9D"/>
    <w:rsid w:val="00E37563"/>
    <w:rsid w:val="00E41E59"/>
    <w:rsid w:val="00E45FD1"/>
    <w:rsid w:val="00E530FD"/>
    <w:rsid w:val="00E546A3"/>
    <w:rsid w:val="00E5579F"/>
    <w:rsid w:val="00E7126C"/>
    <w:rsid w:val="00E736B2"/>
    <w:rsid w:val="00E844F0"/>
    <w:rsid w:val="00E93357"/>
    <w:rsid w:val="00E93BA6"/>
    <w:rsid w:val="00EC2192"/>
    <w:rsid w:val="00ED4011"/>
    <w:rsid w:val="00ED5FBD"/>
    <w:rsid w:val="00EF7624"/>
    <w:rsid w:val="00F00120"/>
    <w:rsid w:val="00F26FA6"/>
    <w:rsid w:val="00F451ED"/>
    <w:rsid w:val="00F45425"/>
    <w:rsid w:val="00F7294A"/>
    <w:rsid w:val="00F76127"/>
    <w:rsid w:val="00FA6878"/>
    <w:rsid w:val="00FB0DE3"/>
    <w:rsid w:val="00FC0619"/>
    <w:rsid w:val="05B68BC7"/>
    <w:rsid w:val="05B6D3A0"/>
    <w:rsid w:val="07A87807"/>
    <w:rsid w:val="08B18A0C"/>
    <w:rsid w:val="0BAD178F"/>
    <w:rsid w:val="0F163D09"/>
    <w:rsid w:val="1CAF7786"/>
    <w:rsid w:val="1CF16E1A"/>
    <w:rsid w:val="26C5000B"/>
    <w:rsid w:val="278E5F92"/>
    <w:rsid w:val="2A9D5AF3"/>
    <w:rsid w:val="3302E14D"/>
    <w:rsid w:val="4249C05C"/>
    <w:rsid w:val="5477E9ED"/>
    <w:rsid w:val="55252F4E"/>
    <w:rsid w:val="621612E8"/>
    <w:rsid w:val="63ED8CE7"/>
    <w:rsid w:val="644663EF"/>
    <w:rsid w:val="6635D214"/>
    <w:rsid w:val="6F5F7AAE"/>
    <w:rsid w:val="74741651"/>
    <w:rsid w:val="75682D92"/>
    <w:rsid w:val="792EDF6E"/>
    <w:rsid w:val="7BF82A8E"/>
    <w:rsid w:val="7EC1AE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EF70D"/>
  <w15:docId w15:val="{A46C3408-B182-4C6B-9D22-9AFB0C1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25C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5C94"/>
  </w:style>
  <w:style w:type="paragraph" w:styleId="Sidefod">
    <w:name w:val="footer"/>
    <w:basedOn w:val="Normal"/>
    <w:link w:val="SidefodTegn"/>
    <w:uiPriority w:val="99"/>
    <w:unhideWhenUsed/>
    <w:rsid w:val="00325C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5C94"/>
  </w:style>
  <w:style w:type="character" w:customStyle="1" w:styleId="Overskrift1Tegn">
    <w:name w:val="Overskrift 1 Tegn"/>
    <w:basedOn w:val="Standardskrifttypeiafsnit"/>
    <w:link w:val="Overskrift1"/>
    <w:uiPriority w:val="9"/>
    <w:rsid w:val="00325C9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25C94"/>
    <w:pPr>
      <w:ind w:left="720"/>
      <w:contextualSpacing/>
    </w:pPr>
    <w:rPr>
      <w:rFonts w:eastAsiaTheme="minorEastAsia"/>
      <w:lang w:eastAsia="da-DK"/>
    </w:rPr>
  </w:style>
  <w:style w:type="character" w:customStyle="1" w:styleId="Overskrift2Tegn">
    <w:name w:val="Overskrift 2 Tegn"/>
    <w:basedOn w:val="Standardskrifttypeiafsnit"/>
    <w:link w:val="Overskrift2"/>
    <w:uiPriority w:val="9"/>
    <w:rsid w:val="00325C94"/>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B32347"/>
    <w:rPr>
      <w:color w:val="0000FF" w:themeColor="hyperlink"/>
      <w:u w:val="single"/>
    </w:rPr>
  </w:style>
  <w:style w:type="paragraph" w:customStyle="1" w:styleId="Template-Parentlogoname">
    <w:name w:val="Template - Parent logoname"/>
    <w:basedOn w:val="Normal"/>
    <w:semiHidden/>
    <w:rsid w:val="000308C0"/>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0308C0"/>
    <w:pPr>
      <w:spacing w:before="66" w:line="160" w:lineRule="atLeast"/>
      <w:contextualSpacing/>
    </w:pPr>
    <w:rPr>
      <w:sz w:val="14"/>
    </w:rPr>
  </w:style>
  <w:style w:type="character" w:styleId="Kommentarhenvisning">
    <w:name w:val="annotation reference"/>
    <w:basedOn w:val="Standardskrifttypeiafsnit"/>
    <w:uiPriority w:val="99"/>
    <w:semiHidden/>
    <w:unhideWhenUsed/>
    <w:rsid w:val="00063A5F"/>
    <w:rPr>
      <w:sz w:val="16"/>
      <w:szCs w:val="16"/>
    </w:rPr>
  </w:style>
  <w:style w:type="paragraph" w:styleId="Kommentartekst">
    <w:name w:val="annotation text"/>
    <w:basedOn w:val="Normal"/>
    <w:link w:val="KommentartekstTegn"/>
    <w:uiPriority w:val="99"/>
    <w:semiHidden/>
    <w:unhideWhenUsed/>
    <w:rsid w:val="00063A5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63A5F"/>
    <w:rPr>
      <w:sz w:val="20"/>
      <w:szCs w:val="20"/>
    </w:rPr>
  </w:style>
  <w:style w:type="paragraph" w:styleId="Kommentaremne">
    <w:name w:val="annotation subject"/>
    <w:basedOn w:val="Kommentartekst"/>
    <w:next w:val="Kommentartekst"/>
    <w:link w:val="KommentaremneTegn"/>
    <w:uiPriority w:val="99"/>
    <w:semiHidden/>
    <w:unhideWhenUsed/>
    <w:rsid w:val="00063A5F"/>
    <w:rPr>
      <w:b/>
      <w:bCs/>
    </w:rPr>
  </w:style>
  <w:style w:type="character" w:customStyle="1" w:styleId="KommentaremneTegn">
    <w:name w:val="Kommentaremne Tegn"/>
    <w:basedOn w:val="KommentartekstTegn"/>
    <w:link w:val="Kommentaremne"/>
    <w:uiPriority w:val="99"/>
    <w:semiHidden/>
    <w:rsid w:val="00063A5F"/>
    <w:rPr>
      <w:b/>
      <w:bCs/>
      <w:sz w:val="20"/>
      <w:szCs w:val="20"/>
    </w:rPr>
  </w:style>
  <w:style w:type="paragraph" w:styleId="Markeringsbobletekst">
    <w:name w:val="Balloon Text"/>
    <w:basedOn w:val="Normal"/>
    <w:link w:val="MarkeringsbobletekstTegn"/>
    <w:uiPriority w:val="99"/>
    <w:semiHidden/>
    <w:unhideWhenUsed/>
    <w:rsid w:val="00063A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3A5F"/>
    <w:rPr>
      <w:rFonts w:ascii="Tahoma" w:hAnsi="Tahoma" w:cs="Tahoma"/>
      <w:sz w:val="16"/>
      <w:szCs w:val="16"/>
    </w:rPr>
  </w:style>
  <w:style w:type="paragraph" w:styleId="Korrektur">
    <w:name w:val="Revision"/>
    <w:hidden/>
    <w:uiPriority w:val="99"/>
    <w:semiHidden/>
    <w:rsid w:val="0093795D"/>
    <w:pPr>
      <w:spacing w:after="0" w:line="240" w:lineRule="auto"/>
    </w:pPr>
  </w:style>
  <w:style w:type="paragraph" w:customStyle="1" w:styleId="Default">
    <w:name w:val="Default"/>
    <w:rsid w:val="00E45FD1"/>
    <w:pPr>
      <w:autoSpaceDE w:val="0"/>
      <w:autoSpaceDN w:val="0"/>
      <w:adjustRightInd w:val="0"/>
      <w:spacing w:after="0" w:line="240" w:lineRule="auto"/>
    </w:pPr>
    <w:rPr>
      <w:rFonts w:ascii="Georgia" w:hAnsi="Georgia" w:cs="Georgia"/>
      <w:color w:val="000000"/>
      <w:sz w:val="24"/>
      <w:szCs w:val="24"/>
    </w:rPr>
  </w:style>
  <w:style w:type="character" w:styleId="Strk">
    <w:name w:val="Strong"/>
    <w:basedOn w:val="Standardskrifttypeiafsnit"/>
    <w:uiPriority w:val="22"/>
    <w:qFormat/>
    <w:rsid w:val="000215EB"/>
    <w:rPr>
      <w:b/>
      <w:bCs/>
    </w:rPr>
  </w:style>
  <w:style w:type="table" w:styleId="Tabel-Gitter">
    <w:name w:val="Table Grid"/>
    <w:basedOn w:val="Tabel-Normal"/>
    <w:rsid w:val="00B34A6A"/>
    <w:pPr>
      <w:spacing w:after="0" w:line="24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61172">
      <w:bodyDiv w:val="1"/>
      <w:marLeft w:val="0"/>
      <w:marRight w:val="0"/>
      <w:marTop w:val="0"/>
      <w:marBottom w:val="0"/>
      <w:divBdr>
        <w:top w:val="none" w:sz="0" w:space="0" w:color="auto"/>
        <w:left w:val="none" w:sz="0" w:space="0" w:color="auto"/>
        <w:bottom w:val="none" w:sz="0" w:space="0" w:color="auto"/>
        <w:right w:val="none" w:sz="0" w:space="0" w:color="auto"/>
      </w:divBdr>
    </w:div>
    <w:div w:id="318048190">
      <w:bodyDiv w:val="1"/>
      <w:marLeft w:val="0"/>
      <w:marRight w:val="0"/>
      <w:marTop w:val="0"/>
      <w:marBottom w:val="0"/>
      <w:divBdr>
        <w:top w:val="none" w:sz="0" w:space="0" w:color="auto"/>
        <w:left w:val="none" w:sz="0" w:space="0" w:color="auto"/>
        <w:bottom w:val="none" w:sz="0" w:space="0" w:color="auto"/>
        <w:right w:val="none" w:sz="0" w:space="0" w:color="auto"/>
      </w:divBdr>
    </w:div>
    <w:div w:id="1358852516">
      <w:bodyDiv w:val="1"/>
      <w:marLeft w:val="0"/>
      <w:marRight w:val="0"/>
      <w:marTop w:val="0"/>
      <w:marBottom w:val="0"/>
      <w:divBdr>
        <w:top w:val="none" w:sz="0" w:space="0" w:color="auto"/>
        <w:left w:val="none" w:sz="0" w:space="0" w:color="auto"/>
        <w:bottom w:val="none" w:sz="0" w:space="0" w:color="auto"/>
        <w:right w:val="none" w:sz="0" w:space="0" w:color="auto"/>
      </w:divBdr>
    </w:div>
    <w:div w:id="1369335335">
      <w:bodyDiv w:val="1"/>
      <w:marLeft w:val="0"/>
      <w:marRight w:val="0"/>
      <w:marTop w:val="0"/>
      <w:marBottom w:val="0"/>
      <w:divBdr>
        <w:top w:val="none" w:sz="0" w:space="0" w:color="auto"/>
        <w:left w:val="none" w:sz="0" w:space="0" w:color="auto"/>
        <w:bottom w:val="none" w:sz="0" w:space="0" w:color="auto"/>
        <w:right w:val="none" w:sz="0" w:space="0" w:color="auto"/>
      </w:divBdr>
    </w:div>
    <w:div w:id="1592351120">
      <w:bodyDiv w:val="1"/>
      <w:marLeft w:val="0"/>
      <w:marRight w:val="0"/>
      <w:marTop w:val="0"/>
      <w:marBottom w:val="0"/>
      <w:divBdr>
        <w:top w:val="none" w:sz="0" w:space="0" w:color="auto"/>
        <w:left w:val="none" w:sz="0" w:space="0" w:color="auto"/>
        <w:bottom w:val="none" w:sz="0" w:space="0" w:color="auto"/>
        <w:right w:val="none" w:sz="0" w:space="0" w:color="auto"/>
      </w:divBdr>
    </w:div>
    <w:div w:id="20336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44E6B7B97ED245911C7AA7832EF36E" ma:contentTypeVersion="2" ma:contentTypeDescription="Opret et nyt dokument." ma:contentTypeScope="" ma:versionID="68c1c35cbfa1156942f867a060ba0752">
  <xsd:schema xmlns:xsd="http://www.w3.org/2001/XMLSchema" xmlns:xs="http://www.w3.org/2001/XMLSchema" xmlns:p="http://schemas.microsoft.com/office/2006/metadata/properties" xmlns:ns2="8f40b648-dd77-4c79-ab19-84f41fd5d204" targetNamespace="http://schemas.microsoft.com/office/2006/metadata/properties" ma:root="true" ma:fieldsID="3b0fbfe93857128c391fa1aedfc6b052" ns2:_="">
    <xsd:import namespace="8f40b648-dd77-4c79-ab19-84f41fd5d2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b648-dd77-4c79-ab19-84f41fd5d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4370A-E5E7-4F15-9E7B-0296945846B6}">
  <ds:schemaRefs>
    <ds:schemaRef ds:uri="http://schemas.microsoft.com/sharepoint/v3/contenttype/forms"/>
  </ds:schemaRefs>
</ds:datastoreItem>
</file>

<file path=customXml/itemProps2.xml><?xml version="1.0" encoding="utf-8"?>
<ds:datastoreItem xmlns:ds="http://schemas.openxmlformats.org/officeDocument/2006/customXml" ds:itemID="{77B39254-2040-4FA3-88B6-25AC5CE2B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b648-dd77-4c79-ab19-84f41fd5d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5E894-AB6C-451A-936B-C57732B02566}">
  <ds:schemaRefs>
    <ds:schemaRef ds:uri="http://schemas.openxmlformats.org/officeDocument/2006/bibliography"/>
  </ds:schemaRefs>
</ds:datastoreItem>
</file>

<file path=customXml/itemProps4.xml><?xml version="1.0" encoding="utf-8"?>
<ds:datastoreItem xmlns:ds="http://schemas.openxmlformats.org/officeDocument/2006/customXml" ds:itemID="{3FAB1B16-47AD-4EA4-AC48-E77BBBF79D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2623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Henrik Philipp Kroer</cp:lastModifiedBy>
  <cp:revision>3</cp:revision>
  <cp:lastPrinted>2013-04-15T10:59:00Z</cp:lastPrinted>
  <dcterms:created xsi:type="dcterms:W3CDTF">2022-04-07T12:46:00Z</dcterms:created>
  <dcterms:modified xsi:type="dcterms:W3CDTF">2022-04-07T12:51:00Z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0x0101000444E6B7B97ED245911C7AA7832EF36E</vt:lpwstr>
  </property>
</Properties>
</file>